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565E875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6F245E">
        <w:rPr>
          <w:rFonts w:cs="Arial"/>
          <w:sz w:val="24"/>
          <w:szCs w:val="24"/>
        </w:rPr>
        <w:t>6</w:t>
      </w:r>
      <w:r w:rsidRPr="00207615">
        <w:rPr>
          <w:rFonts w:cs="Arial"/>
          <w:sz w:val="24"/>
          <w:szCs w:val="24"/>
        </w:rPr>
        <w:tab/>
      </w:r>
      <w:r w:rsidR="004107D6" w:rsidRPr="004107D6">
        <w:rPr>
          <w:rFonts w:cs="Arial"/>
          <w:color w:val="000000"/>
          <w:sz w:val="24"/>
          <w:szCs w:val="24"/>
        </w:rPr>
        <w:t>R4-23026</w:t>
      </w:r>
      <w:r w:rsidR="004107D6">
        <w:rPr>
          <w:rFonts w:cs="Arial"/>
          <w:color w:val="000000"/>
          <w:sz w:val="24"/>
          <w:szCs w:val="24"/>
        </w:rPr>
        <w:t>42</w:t>
      </w:r>
    </w:p>
    <w:p w14:paraId="09BB34F6" w14:textId="74A0880F" w:rsidR="00CE2F76" w:rsidRPr="00CE2F76" w:rsidRDefault="006F245E" w:rsidP="00CE2F76">
      <w:pPr>
        <w:pStyle w:val="Header"/>
        <w:rPr>
          <w:rFonts w:eastAsia="SimSun"/>
          <w:sz w:val="24"/>
          <w:szCs w:val="24"/>
          <w:lang w:val="en-GB" w:eastAsia="zh-CN"/>
        </w:rPr>
      </w:pPr>
      <w:r>
        <w:rPr>
          <w:rFonts w:eastAsia="SimSun"/>
          <w:sz w:val="24"/>
          <w:szCs w:val="24"/>
          <w:lang w:val="en-GB" w:eastAsia="zh-CN"/>
        </w:rPr>
        <w:t>Athens</w:t>
      </w:r>
      <w:r w:rsidR="00C227CA">
        <w:rPr>
          <w:rFonts w:eastAsia="SimSun"/>
          <w:sz w:val="24"/>
          <w:szCs w:val="24"/>
          <w:lang w:val="en-GB" w:eastAsia="zh-CN"/>
        </w:rPr>
        <w:t xml:space="preserve">, </w:t>
      </w:r>
      <w:r>
        <w:rPr>
          <w:rFonts w:eastAsia="SimSun"/>
          <w:sz w:val="24"/>
          <w:szCs w:val="24"/>
          <w:lang w:val="en-GB" w:eastAsia="zh-CN"/>
        </w:rPr>
        <w:t>Greece</w:t>
      </w:r>
      <w:r w:rsidR="00CE2F76" w:rsidRPr="00CE2F76">
        <w:rPr>
          <w:rFonts w:eastAsia="SimSun"/>
          <w:sz w:val="24"/>
          <w:szCs w:val="24"/>
          <w:lang w:val="en-GB" w:eastAsia="zh-CN"/>
        </w:rPr>
        <w:t xml:space="preserve">, </w:t>
      </w:r>
      <w:r w:rsidR="00111997" w:rsidRPr="00111997">
        <w:rPr>
          <w:rFonts w:eastAsia="SimSun" w:cs="Arial" w:hint="eastAsia"/>
          <w:bCs/>
          <w:sz w:val="24"/>
          <w:szCs w:val="24"/>
          <w:lang w:val="en-GB" w:eastAsia="zh-CN"/>
        </w:rPr>
        <w:t>February 27</w:t>
      </w:r>
      <w:r w:rsidR="00111997" w:rsidRPr="00111997">
        <w:rPr>
          <w:rFonts w:eastAsia="SimSun" w:cs="Arial" w:hint="eastAsia"/>
          <w:bCs/>
          <w:sz w:val="24"/>
          <w:szCs w:val="24"/>
          <w:vertAlign w:val="superscript"/>
          <w:lang w:val="en-GB" w:eastAsia="zh-CN"/>
        </w:rPr>
        <w:t>th</w:t>
      </w:r>
      <w:r w:rsidR="00111997" w:rsidRPr="00111997">
        <w:rPr>
          <w:rFonts w:eastAsia="SimSun" w:cs="Arial" w:hint="eastAsia"/>
          <w:bCs/>
          <w:sz w:val="24"/>
          <w:szCs w:val="24"/>
          <w:lang w:val="en-GB" w:eastAsia="zh-CN"/>
        </w:rPr>
        <w:t xml:space="preserve"> </w:t>
      </w:r>
      <w:r w:rsidR="00111997" w:rsidRPr="00111997">
        <w:rPr>
          <w:rFonts w:eastAsia="SimSun" w:cs="Arial" w:hint="eastAsia"/>
          <w:bCs/>
          <w:sz w:val="24"/>
          <w:szCs w:val="24"/>
          <w:lang w:val="en-GB" w:eastAsia="zh-CN"/>
        </w:rPr>
        <w:t>–</w:t>
      </w:r>
      <w:r w:rsidR="00111997" w:rsidRPr="00111997">
        <w:rPr>
          <w:rFonts w:eastAsia="SimSun" w:cs="Arial" w:hint="eastAsia"/>
          <w:bCs/>
          <w:sz w:val="24"/>
          <w:szCs w:val="24"/>
          <w:lang w:val="en-GB" w:eastAsia="zh-CN"/>
        </w:rPr>
        <w:t xml:space="preserve"> March 3</w:t>
      </w:r>
      <w:r w:rsidR="00111997" w:rsidRPr="00111997">
        <w:rPr>
          <w:rFonts w:eastAsia="SimSun" w:cs="Arial" w:hint="eastAsia"/>
          <w:bCs/>
          <w:sz w:val="24"/>
          <w:szCs w:val="24"/>
          <w:vertAlign w:val="superscript"/>
          <w:lang w:val="en-GB" w:eastAsia="zh-CN"/>
        </w:rPr>
        <w:t>rd</w:t>
      </w:r>
      <w:r w:rsidR="00CE2F76" w:rsidRPr="00CE2F76">
        <w:rPr>
          <w:rFonts w:eastAsia="SimSun"/>
          <w:sz w:val="24"/>
          <w:szCs w:val="24"/>
          <w:lang w:val="en-GB" w:eastAsia="zh-CN"/>
        </w:rPr>
        <w:t>, 202</w:t>
      </w:r>
      <w:r w:rsidR="00111997">
        <w:rPr>
          <w:rFonts w:eastAsia="SimSun"/>
          <w:sz w:val="24"/>
          <w:szCs w:val="24"/>
          <w:lang w:val="en-GB" w:eastAsia="zh-CN"/>
        </w:rPr>
        <w:t>3</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0C0B327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C1D67">
        <w:rPr>
          <w:rFonts w:ascii="Arial" w:hAnsi="Arial"/>
          <w:sz w:val="24"/>
          <w:lang w:val="en-US"/>
        </w:rPr>
        <w:t>5</w:t>
      </w:r>
      <w:r w:rsidR="004C1A4F">
        <w:rPr>
          <w:rFonts w:ascii="Arial" w:hAnsi="Arial"/>
          <w:sz w:val="24"/>
          <w:lang w:val="en-US"/>
        </w:rPr>
        <w:t>.</w:t>
      </w:r>
      <w:r w:rsidR="00BC1D67">
        <w:rPr>
          <w:rFonts w:ascii="Arial" w:hAnsi="Arial"/>
          <w:sz w:val="24"/>
          <w:lang w:val="en-US"/>
        </w:rPr>
        <w:t>2.5</w:t>
      </w:r>
      <w:r w:rsidR="00AF7949">
        <w:rPr>
          <w:rFonts w:ascii="Arial" w:hAnsi="Arial"/>
          <w:sz w:val="24"/>
          <w:lang w:val="en-US"/>
        </w:rPr>
        <w:t>.</w:t>
      </w:r>
      <w:r w:rsidR="001D5A8C">
        <w:rPr>
          <w:rFonts w:ascii="Arial" w:hAnsi="Arial"/>
          <w:sz w:val="24"/>
          <w:lang w:val="en-US"/>
        </w:rPr>
        <w:t>2</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498AE26"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FD47D2">
        <w:rPr>
          <w:rFonts w:ascii="Arial" w:hAnsi="Arial"/>
          <w:sz w:val="24"/>
          <w:lang w:val="en-US"/>
        </w:rPr>
        <w:t>Mobility issues</w:t>
      </w:r>
      <w:r w:rsidR="001F6193" w:rsidRPr="001F6193">
        <w:rPr>
          <w:rFonts w:ascii="Arial" w:hAnsi="Arial"/>
          <w:sz w:val="24"/>
          <w:lang w:val="en-US"/>
        </w:rPr>
        <w:t xml:space="preserve"> for RedCap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7F9F5B22" w14:textId="478D31FD" w:rsidR="00590681" w:rsidRDefault="00590681" w:rsidP="00590681">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w:t>
      </w:r>
      <w:r w:rsidR="00C65447">
        <w:rPr>
          <w:rFonts w:eastAsiaTheme="minorEastAsia"/>
          <w:lang w:val="en-US" w:eastAsia="zh-CN"/>
        </w:rPr>
        <w:t xml:space="preserve"> C</w:t>
      </w:r>
      <w:r>
        <w:rPr>
          <w:rFonts w:eastAsiaTheme="minorEastAsia"/>
          <w:lang w:val="en-US" w:eastAsia="zh-CN"/>
        </w:rPr>
        <w:t>ore part of the WI was closed</w:t>
      </w:r>
      <w:r w:rsidR="00C65447">
        <w:rPr>
          <w:rFonts w:eastAsiaTheme="minorEastAsia"/>
          <w:lang w:val="en-US" w:eastAsia="zh-CN"/>
        </w:rPr>
        <w:t xml:space="preserve"> in RAN4#104e</w:t>
      </w:r>
      <w:r>
        <w:rPr>
          <w:rFonts w:eastAsiaTheme="minorEastAsia"/>
          <w:lang w:val="en-US" w:eastAsia="zh-CN"/>
        </w:rPr>
        <w:t xml:space="preserve"> and most of the issues were resolved.</w:t>
      </w:r>
      <w:r w:rsidR="008571DC">
        <w:rPr>
          <w:rFonts w:eastAsiaTheme="minorEastAsia"/>
          <w:lang w:val="en-US" w:eastAsia="zh-CN"/>
        </w:rPr>
        <w:t xml:space="preserve"> However, we noticed that the definition of intra-frequency and inter-frequency Handover is not clear for the RedCap UEs where the serving cell SSB and the target cell SSB could be any combination of CD-SSB and NCD-SSB.</w:t>
      </w:r>
      <w:r>
        <w:rPr>
          <w:rFonts w:eastAsiaTheme="minorEastAsia"/>
          <w:lang w:val="en-US" w:eastAsia="zh-CN"/>
        </w:rPr>
        <w:t xml:space="preserve"> In this contribution we discuss </w:t>
      </w:r>
      <w:r w:rsidR="008571DC">
        <w:rPr>
          <w:rFonts w:eastAsiaTheme="minorEastAsia"/>
          <w:lang w:val="en-US" w:eastAsia="zh-CN"/>
        </w:rPr>
        <w:t>this issue and propose some solutions.</w:t>
      </w:r>
    </w:p>
    <w:p w14:paraId="630111A3" w14:textId="0F990530" w:rsidR="009F0395" w:rsidRDefault="00D5670B" w:rsidP="00DF7FD2">
      <w:pPr>
        <w:pStyle w:val="Heading1"/>
        <w:rPr>
          <w:lang w:eastAsia="zh-CN"/>
        </w:rPr>
      </w:pPr>
      <w:r>
        <w:rPr>
          <w:lang w:eastAsia="zh-CN"/>
        </w:rPr>
        <w:t>Handover with</w:t>
      </w:r>
      <w:r w:rsidR="00BF68D4">
        <w:rPr>
          <w:lang w:eastAsia="zh-CN"/>
        </w:rPr>
        <w:t xml:space="preserve"> </w:t>
      </w:r>
      <w:r w:rsidR="00855735">
        <w:rPr>
          <w:lang w:eastAsia="zh-CN"/>
        </w:rPr>
        <w:t>NCD-SSBs</w:t>
      </w:r>
    </w:p>
    <w:p w14:paraId="6F8EB7AB" w14:textId="6F1F36BA" w:rsidR="00DF7B70" w:rsidRDefault="00701F22" w:rsidP="00766FC4">
      <w:pPr>
        <w:rPr>
          <w:lang w:eastAsia="zh-CN"/>
        </w:rPr>
      </w:pPr>
      <w:r>
        <w:rPr>
          <w:noProof/>
          <w:lang w:eastAsia="zh-CN"/>
        </w:rPr>
        <mc:AlternateContent>
          <mc:Choice Requires="wps">
            <w:drawing>
              <wp:anchor distT="45720" distB="45720" distL="114300" distR="114300" simplePos="0" relativeHeight="251668480" behindDoc="0" locked="0" layoutInCell="1" allowOverlap="1" wp14:anchorId="34BBE93E" wp14:editId="1654C75E">
                <wp:simplePos x="0" y="0"/>
                <wp:positionH relativeFrom="column">
                  <wp:posOffset>42545</wp:posOffset>
                </wp:positionH>
                <wp:positionV relativeFrom="paragraph">
                  <wp:posOffset>544830</wp:posOffset>
                </wp:positionV>
                <wp:extent cx="5932805" cy="2483485"/>
                <wp:effectExtent l="0" t="0" r="1079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2483485"/>
                        </a:xfrm>
                        <a:prstGeom prst="rect">
                          <a:avLst/>
                        </a:prstGeom>
                        <a:solidFill>
                          <a:srgbClr val="FFFFFF"/>
                        </a:solidFill>
                        <a:ln w="9525">
                          <a:solidFill>
                            <a:srgbClr val="000000"/>
                          </a:solidFill>
                          <a:miter lim="800000"/>
                          <a:headEnd/>
                          <a:tailEnd/>
                        </a:ln>
                      </wps:spPr>
                      <wps:txbx>
                        <w:txbxContent>
                          <w:p w14:paraId="4AD73B8C" w14:textId="77777777" w:rsidR="00450819" w:rsidRPr="001B45D5" w:rsidRDefault="00450819" w:rsidP="00450819">
                            <w:pPr>
                              <w:numPr>
                                <w:ilvl w:val="1"/>
                                <w:numId w:val="31"/>
                              </w:numPr>
                              <w:spacing w:after="120"/>
                              <w:ind w:left="360"/>
                              <w:rPr>
                                <w:rFonts w:eastAsia="SimSun"/>
                                <w:i/>
                                <w:iCs/>
                                <w:szCs w:val="24"/>
                                <w:lang w:eastAsia="zh-CN"/>
                              </w:rPr>
                            </w:pPr>
                            <w:r w:rsidRPr="001B45D5">
                              <w:rPr>
                                <w:rFonts w:eastAsia="SimSun"/>
                                <w:i/>
                                <w:iCs/>
                                <w:szCs w:val="24"/>
                                <w:lang w:eastAsia="zh-CN"/>
                              </w:rPr>
                              <w:t>Agreement: For the case when the UE performs measurement on a SSB and handover to a BWP with un-measured SSB, the following apply:</w:t>
                            </w:r>
                          </w:p>
                          <w:p w14:paraId="3E144246" w14:textId="77777777" w:rsidR="00450819" w:rsidRPr="001B45D5" w:rsidRDefault="00450819" w:rsidP="00450819">
                            <w:pPr>
                              <w:numPr>
                                <w:ilvl w:val="0"/>
                                <w:numId w:val="33"/>
                              </w:numPr>
                              <w:ind w:left="700"/>
                              <w:rPr>
                                <w:rFonts w:eastAsia="Times New Roman"/>
                                <w:i/>
                                <w:iCs/>
                                <w:szCs w:val="24"/>
                                <w:lang w:eastAsia="zh-CN"/>
                              </w:rPr>
                            </w:pPr>
                            <w:r w:rsidRPr="001B45D5">
                              <w:rPr>
                                <w:rFonts w:eastAsia="Times New Roman"/>
                                <w:i/>
                                <w:iCs/>
                                <w:szCs w:val="24"/>
                                <w:lang w:eastAsia="zh-CN"/>
                              </w:rPr>
                              <w:t>The requirements apply for the scenario where the measured SSB and the SSB in the target BWP for HO belong to the same target cell.</w:t>
                            </w:r>
                          </w:p>
                          <w:p w14:paraId="2A3F5E28" w14:textId="77777777" w:rsidR="00450819" w:rsidRPr="001B45D5" w:rsidRDefault="00450819" w:rsidP="00450819">
                            <w:pPr>
                              <w:numPr>
                                <w:ilvl w:val="1"/>
                                <w:numId w:val="33"/>
                              </w:numPr>
                              <w:ind w:left="1420"/>
                              <w:rPr>
                                <w:rFonts w:eastAsia="Times New Roman"/>
                                <w:i/>
                                <w:iCs/>
                                <w:szCs w:val="24"/>
                                <w:lang w:val="en-US" w:eastAsia="zh-CN"/>
                              </w:rPr>
                            </w:pPr>
                            <w:r w:rsidRPr="001B45D5">
                              <w:rPr>
                                <w:rFonts w:eastAsia="Times New Roman"/>
                                <w:i/>
                                <w:iCs/>
                                <w:szCs w:val="24"/>
                                <w:lang w:eastAsia="zh-CN"/>
                              </w:rPr>
                              <w:t xml:space="preserve">Note: the above agreement is for RedCap, where the measured SSB and the target SSB for HO of the same target cell are: </w:t>
                            </w:r>
                          </w:p>
                          <w:p w14:paraId="5C0BFF7E" w14:textId="20FA4C89" w:rsidR="00450819" w:rsidRPr="001B45D5" w:rsidRDefault="00450819" w:rsidP="00450819">
                            <w:pPr>
                              <w:numPr>
                                <w:ilvl w:val="2"/>
                                <w:numId w:val="33"/>
                              </w:numPr>
                              <w:ind w:left="2140"/>
                              <w:rPr>
                                <w:rFonts w:eastAsia="Times New Roman"/>
                                <w:i/>
                                <w:iCs/>
                                <w:szCs w:val="24"/>
                                <w:lang w:val="en-US" w:eastAsia="zh-CN"/>
                              </w:rPr>
                            </w:pPr>
                            <w:r w:rsidRPr="001B45D5">
                              <w:rPr>
                                <w:rFonts w:eastAsia="Times New Roman"/>
                                <w:i/>
                                <w:iCs/>
                                <w:szCs w:val="24"/>
                                <w:lang w:eastAsia="zh-CN"/>
                              </w:rPr>
                              <w:t xml:space="preserve">NCD-SSB and NCD-SSB, </w:t>
                            </w:r>
                            <w:r w:rsidR="00AC037B" w:rsidRPr="001B45D5">
                              <w:rPr>
                                <w:rFonts w:eastAsia="Times New Roman"/>
                                <w:i/>
                                <w:iCs/>
                                <w:szCs w:val="24"/>
                                <w:lang w:eastAsia="zh-CN"/>
                              </w:rPr>
                              <w:t>respectively.</w:t>
                            </w:r>
                          </w:p>
                          <w:p w14:paraId="5355723E" w14:textId="4A74DC10" w:rsidR="00450819" w:rsidRPr="001B45D5" w:rsidRDefault="00450819" w:rsidP="00450819">
                            <w:pPr>
                              <w:numPr>
                                <w:ilvl w:val="2"/>
                                <w:numId w:val="33"/>
                              </w:numPr>
                              <w:ind w:left="2140"/>
                              <w:rPr>
                                <w:rFonts w:eastAsia="Times New Roman"/>
                                <w:i/>
                                <w:iCs/>
                                <w:szCs w:val="24"/>
                                <w:lang w:val="en-US" w:eastAsia="zh-CN"/>
                              </w:rPr>
                            </w:pPr>
                            <w:r w:rsidRPr="001B45D5">
                              <w:rPr>
                                <w:rFonts w:eastAsia="Times New Roman"/>
                                <w:i/>
                                <w:iCs/>
                                <w:szCs w:val="24"/>
                                <w:lang w:eastAsia="zh-CN"/>
                              </w:rPr>
                              <w:t xml:space="preserve">CD-SSB and NCD-SSB, </w:t>
                            </w:r>
                            <w:r w:rsidR="00AC037B" w:rsidRPr="001B45D5">
                              <w:rPr>
                                <w:rFonts w:eastAsia="Times New Roman"/>
                                <w:i/>
                                <w:iCs/>
                                <w:szCs w:val="24"/>
                                <w:lang w:eastAsia="zh-CN"/>
                              </w:rPr>
                              <w:t>respectively.</w:t>
                            </w:r>
                          </w:p>
                          <w:p w14:paraId="100C9CD4" w14:textId="77777777" w:rsidR="00450819" w:rsidRPr="001B45D5" w:rsidRDefault="00450819" w:rsidP="00450819">
                            <w:pPr>
                              <w:numPr>
                                <w:ilvl w:val="2"/>
                                <w:numId w:val="33"/>
                              </w:numPr>
                              <w:ind w:left="2140"/>
                              <w:rPr>
                                <w:rFonts w:eastAsia="Times New Roman"/>
                                <w:i/>
                                <w:iCs/>
                                <w:szCs w:val="24"/>
                                <w:lang w:val="en-US" w:eastAsia="zh-CN"/>
                              </w:rPr>
                            </w:pPr>
                            <w:r w:rsidRPr="001B45D5">
                              <w:rPr>
                                <w:rFonts w:eastAsia="Times New Roman"/>
                                <w:i/>
                                <w:iCs/>
                                <w:szCs w:val="24"/>
                                <w:lang w:eastAsia="zh-CN"/>
                              </w:rPr>
                              <w:t>NCD-SSB and CD-SSB, respectively.</w:t>
                            </w:r>
                          </w:p>
                          <w:p w14:paraId="4EE91E7F" w14:textId="77777777" w:rsidR="00450819" w:rsidRPr="001B45D5" w:rsidRDefault="00450819" w:rsidP="00450819">
                            <w:pPr>
                              <w:numPr>
                                <w:ilvl w:val="1"/>
                                <w:numId w:val="31"/>
                              </w:numPr>
                              <w:spacing w:after="120"/>
                              <w:ind w:left="360"/>
                              <w:rPr>
                                <w:rFonts w:eastAsia="SimSun"/>
                                <w:i/>
                                <w:iCs/>
                                <w:szCs w:val="24"/>
                                <w:lang w:eastAsia="zh-CN"/>
                              </w:rPr>
                            </w:pPr>
                            <w:r w:rsidRPr="001B45D5">
                              <w:rPr>
                                <w:rFonts w:eastAsia="SimSun"/>
                                <w:i/>
                                <w:iCs/>
                                <w:szCs w:val="24"/>
                                <w:lang w:eastAsia="zh-CN"/>
                              </w:rPr>
                              <w:t> </w:t>
                            </w:r>
                            <w:r w:rsidRPr="001B45D5">
                              <w:rPr>
                                <w:rFonts w:eastAsia="SimSun"/>
                                <w:i/>
                                <w:iCs/>
                                <w:lang w:eastAsia="zh-CN"/>
                              </w:rPr>
                              <w:t> </w:t>
                            </w:r>
                            <w:r w:rsidRPr="001B45D5">
                              <w:rPr>
                                <w:rFonts w:eastAsia="SimSun"/>
                                <w:i/>
                                <w:iCs/>
                                <w:szCs w:val="24"/>
                                <w:lang w:eastAsia="zh-CN"/>
                              </w:rPr>
                              <w:t>Agreement:</w:t>
                            </w:r>
                          </w:p>
                          <w:p w14:paraId="6043D1CA" w14:textId="77777777" w:rsidR="00450819" w:rsidRPr="001B45D5" w:rsidRDefault="00450819" w:rsidP="00450819">
                            <w:pPr>
                              <w:numPr>
                                <w:ilvl w:val="0"/>
                                <w:numId w:val="33"/>
                              </w:numPr>
                              <w:ind w:left="984"/>
                              <w:rPr>
                                <w:rFonts w:eastAsia="Times New Roman"/>
                                <w:color w:val="0070C0"/>
                                <w:szCs w:val="24"/>
                                <w:lang w:val="en-US" w:eastAsia="zh-CN"/>
                              </w:rPr>
                            </w:pPr>
                            <w:r w:rsidRPr="001B45D5">
                              <w:rPr>
                                <w:rFonts w:eastAsia="Times New Roman"/>
                                <w:i/>
                                <w:iCs/>
                                <w:szCs w:val="24"/>
                                <w:lang w:eastAsia="zh-CN"/>
                              </w:rPr>
                              <w:t>One additional sample is needed for known inter-frequency handover.</w:t>
                            </w:r>
                          </w:p>
                          <w:p w14:paraId="40F188F9" w14:textId="5EDC773D" w:rsidR="00450819" w:rsidRDefault="0045081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BBE93E" id="_x0000_t202" coordsize="21600,21600" o:spt="202" path="m,l,21600r21600,l21600,xe">
                <v:stroke joinstyle="miter"/>
                <v:path gradientshapeok="t" o:connecttype="rect"/>
              </v:shapetype>
              <v:shape id="Text Box 2" o:spid="_x0000_s1026" type="#_x0000_t202" style="position:absolute;margin-left:3.35pt;margin-top:42.9pt;width:467.15pt;height:195.5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">
                <v:textbox>
                  <w:txbxContent>
                    <w:p w14:paraId="4AD73B8C" w14:textId="77777777" w:rsidR="00450819" w:rsidRPr="001B45D5" w:rsidRDefault="00450819" w:rsidP="00450819">
                      <w:pPr>
                        <w:numPr>
                          <w:ilvl w:val="1"/>
                          <w:numId w:val="31"/>
                        </w:numPr>
                        <w:spacing w:after="120"/>
                        <w:ind w:left="360"/>
                        <w:rPr>
                          <w:rFonts w:eastAsia="SimSun"/>
                          <w:i/>
                          <w:iCs/>
                          <w:szCs w:val="24"/>
                          <w:lang w:eastAsia="zh-CN"/>
                        </w:rPr>
                      </w:pPr>
                      <w:r w:rsidRPr="001B45D5">
                        <w:rPr>
                          <w:rFonts w:eastAsia="SimSun"/>
                          <w:i/>
                          <w:iCs/>
                          <w:szCs w:val="24"/>
                          <w:lang w:eastAsia="zh-CN"/>
                        </w:rPr>
                        <w:t>Agreement: For the case when the UE performs measurement on a SSB and handover to a BWP with un-measured SSB, the following apply:</w:t>
                      </w:r>
                    </w:p>
                    <w:p w14:paraId="3E144246" w14:textId="77777777" w:rsidR="00450819" w:rsidRPr="001B45D5" w:rsidRDefault="00450819" w:rsidP="00450819">
                      <w:pPr>
                        <w:numPr>
                          <w:ilvl w:val="0"/>
                          <w:numId w:val="33"/>
                        </w:numPr>
                        <w:ind w:left="700"/>
                        <w:rPr>
                          <w:rFonts w:eastAsia="Times New Roman"/>
                          <w:i/>
                          <w:iCs/>
                          <w:szCs w:val="24"/>
                          <w:lang w:eastAsia="zh-CN"/>
                        </w:rPr>
                      </w:pPr>
                      <w:r w:rsidRPr="001B45D5">
                        <w:rPr>
                          <w:rFonts w:eastAsia="Times New Roman"/>
                          <w:i/>
                          <w:iCs/>
                          <w:szCs w:val="24"/>
                          <w:lang w:eastAsia="zh-CN"/>
                        </w:rPr>
                        <w:t>The requirements apply for the scenario where the measured SSB and the SSB in the target BWP for HO belong to the same target cell.</w:t>
                      </w:r>
                    </w:p>
                    <w:p w14:paraId="2A3F5E28" w14:textId="77777777" w:rsidR="00450819" w:rsidRPr="001B45D5" w:rsidRDefault="00450819" w:rsidP="00450819">
                      <w:pPr>
                        <w:numPr>
                          <w:ilvl w:val="1"/>
                          <w:numId w:val="33"/>
                        </w:numPr>
                        <w:ind w:left="1420"/>
                        <w:rPr>
                          <w:rFonts w:eastAsia="Times New Roman"/>
                          <w:i/>
                          <w:iCs/>
                          <w:szCs w:val="24"/>
                          <w:lang w:val="en-US" w:eastAsia="zh-CN"/>
                        </w:rPr>
                      </w:pPr>
                      <w:r w:rsidRPr="001B45D5">
                        <w:rPr>
                          <w:rFonts w:eastAsia="Times New Roman"/>
                          <w:i/>
                          <w:iCs/>
                          <w:szCs w:val="24"/>
                          <w:lang w:eastAsia="zh-CN"/>
                        </w:rPr>
                        <w:t xml:space="preserve">Note: the above agreement is for </w:t>
                      </w:r>
                      <w:proofErr w:type="spellStart"/>
                      <w:r w:rsidRPr="001B45D5">
                        <w:rPr>
                          <w:rFonts w:eastAsia="Times New Roman"/>
                          <w:i/>
                          <w:iCs/>
                          <w:szCs w:val="24"/>
                          <w:lang w:eastAsia="zh-CN"/>
                        </w:rPr>
                        <w:t>RedCap</w:t>
                      </w:r>
                      <w:proofErr w:type="spellEnd"/>
                      <w:r w:rsidRPr="001B45D5">
                        <w:rPr>
                          <w:rFonts w:eastAsia="Times New Roman"/>
                          <w:i/>
                          <w:iCs/>
                          <w:szCs w:val="24"/>
                          <w:lang w:eastAsia="zh-CN"/>
                        </w:rPr>
                        <w:t xml:space="preserve">, where the measured SSB and the target SSB for HO of the same target cell are: </w:t>
                      </w:r>
                    </w:p>
                    <w:p w14:paraId="5C0BFF7E" w14:textId="20FA4C89" w:rsidR="00450819" w:rsidRPr="001B45D5" w:rsidRDefault="00450819" w:rsidP="00450819">
                      <w:pPr>
                        <w:numPr>
                          <w:ilvl w:val="2"/>
                          <w:numId w:val="33"/>
                        </w:numPr>
                        <w:ind w:left="2140"/>
                        <w:rPr>
                          <w:rFonts w:eastAsia="Times New Roman"/>
                          <w:i/>
                          <w:iCs/>
                          <w:szCs w:val="24"/>
                          <w:lang w:val="en-US" w:eastAsia="zh-CN"/>
                        </w:rPr>
                      </w:pPr>
                      <w:r w:rsidRPr="001B45D5">
                        <w:rPr>
                          <w:rFonts w:eastAsia="Times New Roman"/>
                          <w:i/>
                          <w:iCs/>
                          <w:szCs w:val="24"/>
                          <w:lang w:eastAsia="zh-CN"/>
                        </w:rPr>
                        <w:t xml:space="preserve">NCD-SSB and NCD-SSB, </w:t>
                      </w:r>
                      <w:r w:rsidR="00AC037B" w:rsidRPr="001B45D5">
                        <w:rPr>
                          <w:rFonts w:eastAsia="Times New Roman"/>
                          <w:i/>
                          <w:iCs/>
                          <w:szCs w:val="24"/>
                          <w:lang w:eastAsia="zh-CN"/>
                        </w:rPr>
                        <w:t>respectively.</w:t>
                      </w:r>
                    </w:p>
                    <w:p w14:paraId="5355723E" w14:textId="4A74DC10" w:rsidR="00450819" w:rsidRPr="001B45D5" w:rsidRDefault="00450819" w:rsidP="00450819">
                      <w:pPr>
                        <w:numPr>
                          <w:ilvl w:val="2"/>
                          <w:numId w:val="33"/>
                        </w:numPr>
                        <w:ind w:left="2140"/>
                        <w:rPr>
                          <w:rFonts w:eastAsia="Times New Roman"/>
                          <w:i/>
                          <w:iCs/>
                          <w:szCs w:val="24"/>
                          <w:lang w:val="en-US" w:eastAsia="zh-CN"/>
                        </w:rPr>
                      </w:pPr>
                      <w:r w:rsidRPr="001B45D5">
                        <w:rPr>
                          <w:rFonts w:eastAsia="Times New Roman"/>
                          <w:i/>
                          <w:iCs/>
                          <w:szCs w:val="24"/>
                          <w:lang w:eastAsia="zh-CN"/>
                        </w:rPr>
                        <w:t xml:space="preserve">CD-SSB and NCD-SSB, </w:t>
                      </w:r>
                      <w:r w:rsidR="00AC037B" w:rsidRPr="001B45D5">
                        <w:rPr>
                          <w:rFonts w:eastAsia="Times New Roman"/>
                          <w:i/>
                          <w:iCs/>
                          <w:szCs w:val="24"/>
                          <w:lang w:eastAsia="zh-CN"/>
                        </w:rPr>
                        <w:t>respectively.</w:t>
                      </w:r>
                    </w:p>
                    <w:p w14:paraId="100C9CD4" w14:textId="77777777" w:rsidR="00450819" w:rsidRPr="001B45D5" w:rsidRDefault="00450819" w:rsidP="00450819">
                      <w:pPr>
                        <w:numPr>
                          <w:ilvl w:val="2"/>
                          <w:numId w:val="33"/>
                        </w:numPr>
                        <w:ind w:left="2140"/>
                        <w:rPr>
                          <w:rFonts w:eastAsia="Times New Roman"/>
                          <w:i/>
                          <w:iCs/>
                          <w:szCs w:val="24"/>
                          <w:lang w:val="en-US" w:eastAsia="zh-CN"/>
                        </w:rPr>
                      </w:pPr>
                      <w:r w:rsidRPr="001B45D5">
                        <w:rPr>
                          <w:rFonts w:eastAsia="Times New Roman"/>
                          <w:i/>
                          <w:iCs/>
                          <w:szCs w:val="24"/>
                          <w:lang w:eastAsia="zh-CN"/>
                        </w:rPr>
                        <w:t>NCD-SSB and CD-SSB, respectively.</w:t>
                      </w:r>
                    </w:p>
                    <w:p w14:paraId="4EE91E7F" w14:textId="77777777" w:rsidR="00450819" w:rsidRPr="001B45D5" w:rsidRDefault="00450819" w:rsidP="00450819">
                      <w:pPr>
                        <w:numPr>
                          <w:ilvl w:val="1"/>
                          <w:numId w:val="31"/>
                        </w:numPr>
                        <w:spacing w:after="120"/>
                        <w:ind w:left="360"/>
                        <w:rPr>
                          <w:rFonts w:eastAsia="SimSun"/>
                          <w:i/>
                          <w:iCs/>
                          <w:szCs w:val="24"/>
                          <w:lang w:eastAsia="zh-CN"/>
                        </w:rPr>
                      </w:pPr>
                      <w:r w:rsidRPr="001B45D5">
                        <w:rPr>
                          <w:rFonts w:eastAsia="SimSun"/>
                          <w:i/>
                          <w:iCs/>
                          <w:szCs w:val="24"/>
                          <w:lang w:eastAsia="zh-CN"/>
                        </w:rPr>
                        <w:t> </w:t>
                      </w:r>
                      <w:r w:rsidRPr="001B45D5">
                        <w:rPr>
                          <w:rFonts w:eastAsia="SimSun"/>
                          <w:i/>
                          <w:iCs/>
                          <w:lang w:eastAsia="zh-CN"/>
                        </w:rPr>
                        <w:t> </w:t>
                      </w:r>
                      <w:r w:rsidRPr="001B45D5">
                        <w:rPr>
                          <w:rFonts w:eastAsia="SimSun"/>
                          <w:i/>
                          <w:iCs/>
                          <w:szCs w:val="24"/>
                          <w:lang w:eastAsia="zh-CN"/>
                        </w:rPr>
                        <w:t>Agreement:</w:t>
                      </w:r>
                    </w:p>
                    <w:p w14:paraId="6043D1CA" w14:textId="77777777" w:rsidR="00450819" w:rsidRPr="001B45D5" w:rsidRDefault="00450819" w:rsidP="00450819">
                      <w:pPr>
                        <w:numPr>
                          <w:ilvl w:val="0"/>
                          <w:numId w:val="33"/>
                        </w:numPr>
                        <w:ind w:left="984"/>
                        <w:rPr>
                          <w:rFonts w:eastAsia="Times New Roman"/>
                          <w:color w:val="0070C0"/>
                          <w:szCs w:val="24"/>
                          <w:lang w:val="en-US" w:eastAsia="zh-CN"/>
                        </w:rPr>
                      </w:pPr>
                      <w:r w:rsidRPr="001B45D5">
                        <w:rPr>
                          <w:rFonts w:eastAsia="Times New Roman"/>
                          <w:i/>
                          <w:iCs/>
                          <w:szCs w:val="24"/>
                          <w:lang w:eastAsia="zh-CN"/>
                        </w:rPr>
                        <w:t>One additional sample is needed for known inter-frequency handover.</w:t>
                      </w:r>
                    </w:p>
                    <w:p w14:paraId="40F188F9" w14:textId="5EDC773D" w:rsidR="00450819" w:rsidRDefault="00450819"/>
                  </w:txbxContent>
                </v:textbox>
                <w10:wrap type="square"/>
              </v:shape>
            </w:pict>
          </mc:Fallback>
        </mc:AlternateContent>
      </w:r>
      <w:r w:rsidR="00DF7B70">
        <w:rPr>
          <w:lang w:eastAsia="zh-CN"/>
        </w:rPr>
        <w:t xml:space="preserve">In the last meeting, </w:t>
      </w:r>
      <w:r w:rsidR="00A526FD">
        <w:rPr>
          <w:lang w:eastAsia="zh-CN"/>
        </w:rPr>
        <w:t>RAN4 discussed</w:t>
      </w:r>
      <w:r w:rsidR="00DF7B70">
        <w:rPr>
          <w:lang w:eastAsia="zh-CN"/>
        </w:rPr>
        <w:t xml:space="preserve"> whether the scenario - </w:t>
      </w:r>
      <w:r w:rsidR="00DF7B70" w:rsidRPr="00D23D4F">
        <w:rPr>
          <w:i/>
          <w:iCs/>
          <w:lang w:eastAsia="zh-CN"/>
        </w:rPr>
        <w:t>when handover is performed to a BWP which has a different SSB than the one used during measurements</w:t>
      </w:r>
      <w:r w:rsidR="00DF7B70">
        <w:rPr>
          <w:lang w:eastAsia="zh-CN"/>
        </w:rPr>
        <w:t xml:space="preserve">, should be considered as handover to </w:t>
      </w:r>
      <w:r w:rsidR="007B41F1">
        <w:rPr>
          <w:lang w:eastAsia="zh-CN"/>
        </w:rPr>
        <w:t xml:space="preserve">a </w:t>
      </w:r>
      <w:r w:rsidR="00DF7B70">
        <w:rPr>
          <w:lang w:eastAsia="zh-CN"/>
        </w:rPr>
        <w:t>known cell or unknown cell and associated handover delay</w:t>
      </w:r>
      <w:r w:rsidR="007B41F1">
        <w:rPr>
          <w:lang w:eastAsia="zh-CN"/>
        </w:rPr>
        <w:t xml:space="preserve">, </w:t>
      </w:r>
      <w:r w:rsidR="00A526FD">
        <w:rPr>
          <w:lang w:eastAsia="zh-CN"/>
        </w:rPr>
        <w:t>and reached</w:t>
      </w:r>
      <w:r w:rsidR="001B45D5">
        <w:rPr>
          <w:lang w:eastAsia="zh-CN"/>
        </w:rPr>
        <w:t xml:space="preserve"> the following agreement</w:t>
      </w:r>
      <w:r w:rsidR="00B947D8">
        <w:rPr>
          <w:lang w:eastAsia="zh-CN"/>
        </w:rPr>
        <w:t xml:space="preserve"> [2]</w:t>
      </w:r>
      <w:r w:rsidR="001B45D5">
        <w:rPr>
          <w:lang w:eastAsia="zh-CN"/>
        </w:rPr>
        <w:t>:</w:t>
      </w:r>
    </w:p>
    <w:p w14:paraId="08D811EC" w14:textId="443C2B53" w:rsidR="00450819" w:rsidRDefault="00450819" w:rsidP="00C3434E">
      <w:pPr>
        <w:rPr>
          <w:lang w:eastAsia="zh-CN"/>
        </w:rPr>
      </w:pPr>
    </w:p>
    <w:p w14:paraId="5356EDF0" w14:textId="4D22F1AF" w:rsidR="00477C1D" w:rsidRPr="00477C1D" w:rsidRDefault="00477C1D" w:rsidP="00C3434E">
      <w:pPr>
        <w:rPr>
          <w:b/>
          <w:bCs/>
          <w:u w:val="single"/>
          <w:lang w:eastAsia="zh-CN"/>
        </w:rPr>
      </w:pPr>
      <w:r>
        <w:rPr>
          <w:b/>
          <w:bCs/>
          <w:u w:val="single"/>
          <w:lang w:eastAsia="zh-CN"/>
        </w:rPr>
        <w:t xml:space="preserve">1. </w:t>
      </w:r>
      <w:r w:rsidRPr="00477C1D">
        <w:rPr>
          <w:b/>
          <w:bCs/>
          <w:u w:val="single"/>
          <w:lang w:eastAsia="zh-CN"/>
        </w:rPr>
        <w:t>Handover to a BWP with unmeasured SSB</w:t>
      </w:r>
      <w:r w:rsidR="00A30D03">
        <w:rPr>
          <w:b/>
          <w:bCs/>
          <w:u w:val="single"/>
          <w:lang w:eastAsia="zh-CN"/>
        </w:rPr>
        <w:t xml:space="preserve"> of a known cell</w:t>
      </w:r>
    </w:p>
    <w:p w14:paraId="7814F3A8" w14:textId="77777777" w:rsidR="00CE63E4" w:rsidRDefault="00C91108" w:rsidP="00C3434E">
      <w:pPr>
        <w:rPr>
          <w:lang w:eastAsia="zh-CN"/>
        </w:rPr>
      </w:pPr>
      <w:r>
        <w:rPr>
          <w:lang w:eastAsia="zh-CN"/>
        </w:rPr>
        <w:t xml:space="preserve">We think this agreement does not settle the </w:t>
      </w:r>
      <w:r w:rsidR="00E0252C">
        <w:rPr>
          <w:lang w:eastAsia="zh-CN"/>
        </w:rPr>
        <w:t xml:space="preserve">issue completely and further clarification is needed. The issue under discussion is depicted in the </w:t>
      </w:r>
      <w:r w:rsidR="0038393F">
        <w:rPr>
          <w:lang w:eastAsia="zh-CN"/>
        </w:rPr>
        <w:t>figure</w:t>
      </w:r>
      <w:r w:rsidR="00BE4433">
        <w:rPr>
          <w:lang w:eastAsia="zh-CN"/>
        </w:rPr>
        <w:t xml:space="preserve"> below. </w:t>
      </w:r>
      <w:r w:rsidR="007F2907">
        <w:rPr>
          <w:lang w:eastAsia="zh-CN"/>
        </w:rPr>
        <w:t>Here we have two neighbour cells</w:t>
      </w:r>
      <w:r w:rsidR="00F22AD0">
        <w:rPr>
          <w:lang w:eastAsia="zh-CN"/>
        </w:rPr>
        <w:t xml:space="preserve">, </w:t>
      </w:r>
      <w:r w:rsidR="005A4505">
        <w:rPr>
          <w:lang w:eastAsia="zh-CN"/>
        </w:rPr>
        <w:t>C</w:t>
      </w:r>
      <w:r w:rsidR="00F22AD0">
        <w:rPr>
          <w:lang w:eastAsia="zh-CN"/>
        </w:rPr>
        <w:t>ell</w:t>
      </w:r>
      <w:r w:rsidR="005A4505">
        <w:rPr>
          <w:lang w:eastAsia="zh-CN"/>
        </w:rPr>
        <w:t>-</w:t>
      </w:r>
      <w:proofErr w:type="gramStart"/>
      <w:r w:rsidR="005A4505">
        <w:rPr>
          <w:lang w:eastAsia="zh-CN"/>
        </w:rPr>
        <w:t>0</w:t>
      </w:r>
      <w:proofErr w:type="gramEnd"/>
      <w:r w:rsidR="00F22AD0">
        <w:rPr>
          <w:lang w:eastAsia="zh-CN"/>
        </w:rPr>
        <w:t xml:space="preserve"> and </w:t>
      </w:r>
      <w:r w:rsidR="005A4505">
        <w:rPr>
          <w:lang w:eastAsia="zh-CN"/>
        </w:rPr>
        <w:t>C</w:t>
      </w:r>
      <w:r w:rsidR="00F22AD0">
        <w:rPr>
          <w:lang w:eastAsia="zh-CN"/>
        </w:rPr>
        <w:t>ell</w:t>
      </w:r>
      <w:r w:rsidR="005A4505">
        <w:rPr>
          <w:lang w:eastAsia="zh-CN"/>
        </w:rPr>
        <w:t>-1,</w:t>
      </w:r>
      <w:r w:rsidR="007F2907">
        <w:rPr>
          <w:lang w:eastAsia="zh-CN"/>
        </w:rPr>
        <w:t xml:space="preserve"> with same </w:t>
      </w:r>
      <w:r w:rsidR="00981D41" w:rsidRPr="00981D41">
        <w:rPr>
          <w:i/>
          <w:iCs/>
          <w:lang w:eastAsia="zh-CN"/>
        </w:rPr>
        <w:t>PhysCellId</w:t>
      </w:r>
      <w:r w:rsidR="00981D41">
        <w:rPr>
          <w:lang w:eastAsia="zh-CN"/>
        </w:rPr>
        <w:t xml:space="preserve"> (</w:t>
      </w:r>
      <w:r w:rsidR="007F2907">
        <w:rPr>
          <w:lang w:eastAsia="zh-CN"/>
        </w:rPr>
        <w:t>PCI</w:t>
      </w:r>
      <w:r w:rsidR="00981D41">
        <w:rPr>
          <w:lang w:eastAsia="zh-CN"/>
        </w:rPr>
        <w:t>)</w:t>
      </w:r>
      <w:r w:rsidR="0084385B">
        <w:rPr>
          <w:lang w:eastAsia="zh-CN"/>
        </w:rPr>
        <w:t>.</w:t>
      </w:r>
      <w:r w:rsidR="00551F19">
        <w:rPr>
          <w:lang w:eastAsia="zh-CN"/>
        </w:rPr>
        <w:t xml:space="preserve"> </w:t>
      </w:r>
      <w:r w:rsidR="00072469">
        <w:rPr>
          <w:lang w:eastAsia="zh-CN"/>
        </w:rPr>
        <w:t>As shown below, the</w:t>
      </w:r>
      <w:r w:rsidR="00E06E88">
        <w:rPr>
          <w:lang w:eastAsia="zh-CN"/>
        </w:rPr>
        <w:t xml:space="preserve"> network configures the UE to measure </w:t>
      </w:r>
      <w:r w:rsidR="00981D41">
        <w:rPr>
          <w:lang w:eastAsia="zh-CN"/>
        </w:rPr>
        <w:t>three SSBs</w:t>
      </w:r>
      <w:r w:rsidR="00B26B5A">
        <w:rPr>
          <w:lang w:eastAsia="zh-CN"/>
        </w:rPr>
        <w:t xml:space="preserve"> – </w:t>
      </w:r>
      <w:r w:rsidR="00367D26">
        <w:rPr>
          <w:lang w:eastAsia="zh-CN"/>
        </w:rPr>
        <w:t>NCD</w:t>
      </w:r>
      <w:r w:rsidR="00B26B5A">
        <w:rPr>
          <w:lang w:eastAsia="zh-CN"/>
        </w:rPr>
        <w:t>-SSB1 belonging to Cell-</w:t>
      </w:r>
      <w:r w:rsidR="00531514">
        <w:rPr>
          <w:lang w:eastAsia="zh-CN"/>
        </w:rPr>
        <w:t>0</w:t>
      </w:r>
      <w:r w:rsidR="00B26B5A">
        <w:rPr>
          <w:lang w:eastAsia="zh-CN"/>
        </w:rPr>
        <w:t xml:space="preserve"> and</w:t>
      </w:r>
      <w:r w:rsidR="00531514">
        <w:rPr>
          <w:lang w:eastAsia="zh-CN"/>
        </w:rPr>
        <w:t>,</w:t>
      </w:r>
      <w:r w:rsidR="00E06E88">
        <w:rPr>
          <w:lang w:eastAsia="zh-CN"/>
        </w:rPr>
        <w:t xml:space="preserve"> </w:t>
      </w:r>
      <w:r w:rsidR="00B26B5A">
        <w:rPr>
          <w:lang w:eastAsia="zh-CN"/>
        </w:rPr>
        <w:t>CD-SSB</w:t>
      </w:r>
      <w:r w:rsidR="00531514">
        <w:rPr>
          <w:lang w:eastAsia="zh-CN"/>
        </w:rPr>
        <w:t xml:space="preserve"> and NCD-SSB3 belonging to Cell-1. Note that since </w:t>
      </w:r>
      <w:r w:rsidR="00101133">
        <w:rPr>
          <w:lang w:eastAsia="zh-CN"/>
        </w:rPr>
        <w:t xml:space="preserve">both the cells share the same PCI, UE cannot distinguish </w:t>
      </w:r>
      <w:r w:rsidR="006725AC">
        <w:rPr>
          <w:lang w:eastAsia="zh-CN"/>
        </w:rPr>
        <w:t xml:space="preserve">which SSB belongs to which cell. </w:t>
      </w:r>
      <w:r w:rsidR="00B56E0C">
        <w:rPr>
          <w:lang w:eastAsia="zh-CN"/>
        </w:rPr>
        <w:t>L</w:t>
      </w:r>
      <w:r w:rsidR="006725AC">
        <w:rPr>
          <w:lang w:eastAsia="zh-CN"/>
        </w:rPr>
        <w:t>et’s say handover is triggered to NCD-SSB2 of Cell-1</w:t>
      </w:r>
      <w:r w:rsidR="00B56E0C">
        <w:rPr>
          <w:lang w:eastAsia="zh-CN"/>
        </w:rPr>
        <w:t xml:space="preserve"> which wasn’t measured before</w:t>
      </w:r>
      <w:r w:rsidR="00544E9A">
        <w:rPr>
          <w:lang w:eastAsia="zh-CN"/>
        </w:rPr>
        <w:t xml:space="preserve">, but another SSB (NCD-SSB1) from the cell was measured. </w:t>
      </w:r>
      <w:r w:rsidR="0002438A">
        <w:rPr>
          <w:lang w:eastAsia="zh-CN"/>
        </w:rPr>
        <w:t>T</w:t>
      </w:r>
      <w:r w:rsidR="00544E9A">
        <w:rPr>
          <w:lang w:eastAsia="zh-CN"/>
        </w:rPr>
        <w:t xml:space="preserve">his classifies as known cell handover and UE is </w:t>
      </w:r>
      <w:r w:rsidR="0002438A">
        <w:rPr>
          <w:lang w:eastAsia="zh-CN"/>
        </w:rPr>
        <w:t>not required to perform the cell search again</w:t>
      </w:r>
      <w:r w:rsidR="00743FF8">
        <w:rPr>
          <w:lang w:eastAsia="zh-CN"/>
        </w:rPr>
        <w:t xml:space="preserve"> implying that the UE needs to rely on measurement results </w:t>
      </w:r>
      <w:r w:rsidR="004D7AD7">
        <w:rPr>
          <w:lang w:eastAsia="zh-CN"/>
        </w:rPr>
        <w:t xml:space="preserve">obtained prior to the handover process. A typical UE will look at the PCI of the </w:t>
      </w:r>
      <w:r w:rsidR="00AB498F">
        <w:rPr>
          <w:lang w:eastAsia="zh-CN"/>
        </w:rPr>
        <w:t xml:space="preserve">SSB configured in the handover commend (which comes as RRC reconfiguration message) and </w:t>
      </w:r>
      <w:r w:rsidR="006B32B3">
        <w:rPr>
          <w:lang w:eastAsia="zh-CN"/>
        </w:rPr>
        <w:t>scans through the stored</w:t>
      </w:r>
      <w:r w:rsidR="006274A3">
        <w:rPr>
          <w:lang w:eastAsia="zh-CN"/>
        </w:rPr>
        <w:t xml:space="preserve"> measurement r</w:t>
      </w:r>
      <w:r w:rsidR="00D01425">
        <w:rPr>
          <w:lang w:eastAsia="zh-CN"/>
        </w:rPr>
        <w:t>esults corresponding to the same PCI</w:t>
      </w:r>
      <w:r w:rsidR="006B32B3">
        <w:rPr>
          <w:lang w:eastAsia="zh-CN"/>
        </w:rPr>
        <w:t>. In this case, there are three measurement results corresponding to the same PCI</w:t>
      </w:r>
      <w:r w:rsidR="00F77971">
        <w:rPr>
          <w:lang w:eastAsia="zh-CN"/>
        </w:rPr>
        <w:t>. Now the UE doesn’t know which measurement results are to be used as the initial condition</w:t>
      </w:r>
      <w:r w:rsidR="00B14973">
        <w:rPr>
          <w:lang w:eastAsia="zh-CN"/>
        </w:rPr>
        <w:t xml:space="preserve"> (AGC state, RSRP, RSRQ etc.)</w:t>
      </w:r>
      <w:r w:rsidR="00F77971">
        <w:rPr>
          <w:lang w:eastAsia="zh-CN"/>
        </w:rPr>
        <w:t xml:space="preserve"> of the cell</w:t>
      </w:r>
      <w:r w:rsidR="00011E22">
        <w:rPr>
          <w:lang w:eastAsia="zh-CN"/>
        </w:rPr>
        <w:t xml:space="preserve"> for the handover </w:t>
      </w:r>
      <w:r w:rsidR="00011E22">
        <w:rPr>
          <w:lang w:eastAsia="zh-CN"/>
        </w:rPr>
        <w:lastRenderedPageBreak/>
        <w:t xml:space="preserve">procedure. Since </w:t>
      </w:r>
      <w:r w:rsidR="00A222AD">
        <w:rPr>
          <w:lang w:eastAsia="zh-CN"/>
        </w:rPr>
        <w:t>T</w:t>
      </w:r>
      <w:r w:rsidR="00011E22">
        <w:rPr>
          <w:lang w:eastAsia="zh-CN"/>
        </w:rPr>
        <w:t xml:space="preserve">x power could be different across </w:t>
      </w:r>
      <w:r w:rsidR="009245B2">
        <w:rPr>
          <w:lang w:eastAsia="zh-CN"/>
        </w:rPr>
        <w:t>cells, measurement results w</w:t>
      </w:r>
      <w:r w:rsidR="00A222AD">
        <w:rPr>
          <w:lang w:eastAsia="zh-CN"/>
        </w:rPr>
        <w:t>ill differ as well</w:t>
      </w:r>
      <w:r w:rsidR="00BF234F">
        <w:rPr>
          <w:lang w:eastAsia="zh-CN"/>
        </w:rPr>
        <w:t xml:space="preserve"> and if the UE uses measurement results from </w:t>
      </w:r>
      <w:r w:rsidR="00CE63E4">
        <w:rPr>
          <w:lang w:eastAsia="zh-CN"/>
        </w:rPr>
        <w:t>MO#2 instead of MO#1, it may lead to Handover failure.</w:t>
      </w:r>
    </w:p>
    <w:p w14:paraId="374BB64B" w14:textId="1871C519" w:rsidR="00E0252C" w:rsidRDefault="003103D2" w:rsidP="003103D2">
      <w:pPr>
        <w:jc w:val="center"/>
        <w:rPr>
          <w:lang w:eastAsia="zh-CN"/>
        </w:rPr>
      </w:pPr>
      <w:r>
        <w:rPr>
          <w:noProof/>
          <w:lang w:eastAsia="zh-CN"/>
        </w:rPr>
        <w:drawing>
          <wp:inline distT="0" distB="0" distL="0" distR="0" wp14:anchorId="4D65B71B" wp14:editId="1821D21D">
            <wp:extent cx="2688771" cy="3178175"/>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8771" cy="3178175"/>
                    </a:xfrm>
                    <a:prstGeom prst="rect">
                      <a:avLst/>
                    </a:prstGeom>
                    <a:noFill/>
                  </pic:spPr>
                </pic:pic>
              </a:graphicData>
            </a:graphic>
          </wp:inline>
        </w:drawing>
      </w:r>
    </w:p>
    <w:p w14:paraId="2F70BE5E" w14:textId="1343FB76" w:rsidR="00A80970" w:rsidRDefault="00A80970" w:rsidP="00C3434E">
      <w:pPr>
        <w:rPr>
          <w:lang w:eastAsia="zh-CN"/>
        </w:rPr>
      </w:pPr>
    </w:p>
    <w:p w14:paraId="5A0BC0CE" w14:textId="0A9CC80C" w:rsidR="00CE63E4" w:rsidRDefault="00CE63E4" w:rsidP="00CE63E4">
      <w:pPr>
        <w:rPr>
          <w:lang w:eastAsia="zh-CN"/>
        </w:rPr>
      </w:pPr>
      <w:r>
        <w:rPr>
          <w:lang w:eastAsia="zh-CN"/>
        </w:rPr>
        <w:t xml:space="preserve">Agreement from the previous meeting says that the measured SSB and the SSB within the </w:t>
      </w:r>
      <w:r w:rsidRPr="00CE63E4">
        <w:rPr>
          <w:i/>
          <w:iCs/>
          <w:lang w:eastAsia="zh-CN"/>
        </w:rPr>
        <w:t>firstActiveBWP</w:t>
      </w:r>
      <w:r>
        <w:rPr>
          <w:lang w:eastAsia="zh-CN"/>
        </w:rPr>
        <w:t xml:space="preserve"> should belong to the same cell, but UE has no ways to differentiate between the SSBs if they share the same PCI. S</w:t>
      </w:r>
      <w:r w:rsidR="001422AD">
        <w:rPr>
          <w:lang w:eastAsia="zh-CN"/>
        </w:rPr>
        <w:t>o, ideally such cases where measured SSB is different from the SSB indicated in the HO command</w:t>
      </w:r>
      <w:r w:rsidR="00F5783D">
        <w:rPr>
          <w:lang w:eastAsia="zh-CN"/>
        </w:rPr>
        <w:t xml:space="preserve">, should be classified as unknown cells. </w:t>
      </w:r>
      <w:r w:rsidR="009351D6">
        <w:rPr>
          <w:lang w:eastAsia="zh-CN"/>
        </w:rPr>
        <w:t>W</w:t>
      </w:r>
      <w:r w:rsidR="00F5783D">
        <w:rPr>
          <w:lang w:eastAsia="zh-CN"/>
        </w:rPr>
        <w:t xml:space="preserve">e understand concerns from other companies that this may lead to increased handover delays </w:t>
      </w:r>
      <w:r w:rsidR="009351D6">
        <w:rPr>
          <w:lang w:eastAsia="zh-CN"/>
        </w:rPr>
        <w:t xml:space="preserve">and is not </w:t>
      </w:r>
      <w:r w:rsidR="00333756">
        <w:rPr>
          <w:lang w:eastAsia="zh-CN"/>
        </w:rPr>
        <w:t>desired,</w:t>
      </w:r>
      <w:r w:rsidR="009351D6">
        <w:rPr>
          <w:lang w:eastAsia="zh-CN"/>
        </w:rPr>
        <w:t xml:space="preserve"> but </w:t>
      </w:r>
      <w:r w:rsidR="00333756">
        <w:rPr>
          <w:lang w:eastAsia="zh-CN"/>
        </w:rPr>
        <w:t>provisions are needed to handle such scenarios in the field. Si</w:t>
      </w:r>
      <w:r w:rsidR="00057826">
        <w:rPr>
          <w:lang w:eastAsia="zh-CN"/>
        </w:rPr>
        <w:t>nce the major concern here is regarding different measurement</w:t>
      </w:r>
      <w:r w:rsidR="00F52D9C">
        <w:rPr>
          <w:lang w:eastAsia="zh-CN"/>
        </w:rPr>
        <w:t>s for the SSBs belonging to same PCI when Tx power is different for the SSBs</w:t>
      </w:r>
      <w:r w:rsidR="00490D58">
        <w:rPr>
          <w:lang w:eastAsia="zh-CN"/>
        </w:rPr>
        <w:t>, we think a simple solution would be make sure that all SSBs with the same PCI are transmitted at the same power.</w:t>
      </w:r>
    </w:p>
    <w:p w14:paraId="3BB32B95" w14:textId="4DA8D873" w:rsidR="00490D58" w:rsidRDefault="00194304" w:rsidP="00CE63E4">
      <w:pPr>
        <w:rPr>
          <w:b/>
          <w:bCs/>
          <w:lang w:eastAsia="zh-CN"/>
        </w:rPr>
      </w:pPr>
      <w:r w:rsidRPr="000901F1">
        <w:rPr>
          <w:b/>
          <w:bCs/>
          <w:lang w:eastAsia="zh-CN"/>
        </w:rPr>
        <w:t>Observation 1: For the case when the UE performs handover to a BWP with un-measured SSB, UE has no way to te</w:t>
      </w:r>
      <w:r w:rsidR="000901F1" w:rsidRPr="000901F1">
        <w:rPr>
          <w:b/>
          <w:bCs/>
          <w:lang w:eastAsia="zh-CN"/>
        </w:rPr>
        <w:t>ll which measurement values to be used from the previously measured SSBs having the same PCI</w:t>
      </w:r>
      <w:r w:rsidR="009F6C0E">
        <w:rPr>
          <w:b/>
          <w:bCs/>
          <w:lang w:eastAsia="zh-CN"/>
        </w:rPr>
        <w:t>.</w:t>
      </w:r>
    </w:p>
    <w:p w14:paraId="6184805A" w14:textId="05FC2C38" w:rsidR="009F6C0E" w:rsidRDefault="009F6C0E" w:rsidP="00CE63E4">
      <w:pPr>
        <w:rPr>
          <w:b/>
          <w:bCs/>
          <w:lang w:eastAsia="zh-CN"/>
        </w:rPr>
      </w:pPr>
      <w:r>
        <w:rPr>
          <w:b/>
          <w:bCs/>
          <w:lang w:eastAsia="zh-CN"/>
        </w:rPr>
        <w:t>Proposal 1: Revise the agreement from the previous meeting as below:</w:t>
      </w:r>
    </w:p>
    <w:p w14:paraId="0D3AF7DD" w14:textId="77777777" w:rsidR="009F6C0E" w:rsidRPr="009F0F59" w:rsidRDefault="009F6C0E" w:rsidP="009F6C0E">
      <w:pPr>
        <w:pStyle w:val="ListParagraph"/>
        <w:numPr>
          <w:ilvl w:val="0"/>
          <w:numId w:val="37"/>
        </w:numPr>
        <w:rPr>
          <w:b/>
          <w:bCs/>
          <w:sz w:val="20"/>
          <w:szCs w:val="20"/>
          <w:lang w:eastAsia="zh-CN"/>
        </w:rPr>
      </w:pPr>
      <w:r w:rsidRPr="009F0F59">
        <w:rPr>
          <w:b/>
          <w:bCs/>
          <w:sz w:val="20"/>
          <w:szCs w:val="20"/>
          <w:lang w:eastAsia="zh-CN"/>
        </w:rPr>
        <w:t>For the case when the UE performs measurement on a SSB and handover to a BWP with un-measured SSB, the following apply:</w:t>
      </w:r>
    </w:p>
    <w:p w14:paraId="33567550" w14:textId="3B5C1794" w:rsidR="009F6C0E" w:rsidRPr="009F0F59" w:rsidRDefault="009F6C0E" w:rsidP="009F6C0E">
      <w:pPr>
        <w:pStyle w:val="ListParagraph"/>
        <w:numPr>
          <w:ilvl w:val="1"/>
          <w:numId w:val="37"/>
        </w:numPr>
        <w:rPr>
          <w:b/>
          <w:bCs/>
          <w:sz w:val="20"/>
          <w:szCs w:val="20"/>
          <w:lang w:eastAsia="zh-CN"/>
        </w:rPr>
      </w:pPr>
      <w:r w:rsidRPr="009F0F59">
        <w:rPr>
          <w:b/>
          <w:bCs/>
          <w:sz w:val="20"/>
          <w:szCs w:val="20"/>
          <w:lang w:eastAsia="zh-CN"/>
        </w:rPr>
        <w:t>The requirements apply for the scenario where the measured SSB and the SSB in the target BWP for HO belong to the same target cell</w:t>
      </w:r>
      <w:r w:rsidR="00E14CC4" w:rsidRPr="009F0F59">
        <w:rPr>
          <w:b/>
          <w:bCs/>
          <w:sz w:val="20"/>
          <w:szCs w:val="20"/>
          <w:lang w:eastAsia="zh-CN"/>
        </w:rPr>
        <w:t xml:space="preserve">, </w:t>
      </w:r>
      <w:r w:rsidR="00E14CC4" w:rsidRPr="009F0F59">
        <w:rPr>
          <w:b/>
          <w:bCs/>
          <w:sz w:val="20"/>
          <w:szCs w:val="20"/>
          <w:u w:val="single"/>
          <w:lang w:eastAsia="zh-CN"/>
        </w:rPr>
        <w:t>i.e., they share the same physCellID (PCI)</w:t>
      </w:r>
    </w:p>
    <w:p w14:paraId="57015FC2" w14:textId="1ED289AC" w:rsidR="00E14CC4" w:rsidRPr="009F0F59" w:rsidRDefault="003244B5" w:rsidP="009F6C0E">
      <w:pPr>
        <w:pStyle w:val="ListParagraph"/>
        <w:numPr>
          <w:ilvl w:val="1"/>
          <w:numId w:val="37"/>
        </w:numPr>
        <w:rPr>
          <w:b/>
          <w:bCs/>
          <w:sz w:val="20"/>
          <w:szCs w:val="20"/>
          <w:u w:val="single"/>
          <w:lang w:eastAsia="zh-CN"/>
        </w:rPr>
      </w:pPr>
      <w:r w:rsidRPr="003244B5">
        <w:rPr>
          <w:b/>
          <w:bCs/>
          <w:sz w:val="20"/>
          <w:szCs w:val="20"/>
          <w:u w:val="single"/>
          <w:lang w:eastAsia="zh-CN"/>
        </w:rPr>
        <w:t>UE may assume that the TX power of the SSB of the target cell’s active BWP is same as that of the measured SSBs that belong to the same PCI</w:t>
      </w:r>
    </w:p>
    <w:p w14:paraId="57157344" w14:textId="77777777" w:rsidR="006703FB" w:rsidRPr="009F0F59" w:rsidRDefault="009F6C0E" w:rsidP="006703FB">
      <w:pPr>
        <w:pStyle w:val="ListParagraph"/>
        <w:numPr>
          <w:ilvl w:val="0"/>
          <w:numId w:val="37"/>
        </w:numPr>
        <w:rPr>
          <w:b/>
          <w:bCs/>
          <w:sz w:val="20"/>
          <w:szCs w:val="20"/>
          <w:lang w:eastAsia="zh-CN"/>
        </w:rPr>
      </w:pPr>
      <w:r w:rsidRPr="009F0F59">
        <w:rPr>
          <w:b/>
          <w:bCs/>
          <w:sz w:val="20"/>
          <w:szCs w:val="20"/>
          <w:lang w:eastAsia="zh-CN"/>
        </w:rPr>
        <w:t xml:space="preserve">Note: the above agreement is for RedCap, where the measured SSB and the target SSB for HO of the same target cell are: </w:t>
      </w:r>
    </w:p>
    <w:p w14:paraId="1E9CAA35" w14:textId="55E7289C" w:rsidR="006703FB" w:rsidRPr="009F0F59" w:rsidRDefault="009F6C0E" w:rsidP="009F6C0E">
      <w:pPr>
        <w:pStyle w:val="ListParagraph"/>
        <w:numPr>
          <w:ilvl w:val="1"/>
          <w:numId w:val="37"/>
        </w:numPr>
        <w:rPr>
          <w:b/>
          <w:bCs/>
          <w:sz w:val="20"/>
          <w:szCs w:val="20"/>
          <w:lang w:eastAsia="zh-CN"/>
        </w:rPr>
      </w:pPr>
      <w:r w:rsidRPr="009F0F59">
        <w:rPr>
          <w:b/>
          <w:bCs/>
          <w:sz w:val="20"/>
          <w:szCs w:val="20"/>
          <w:lang w:eastAsia="zh-CN"/>
        </w:rPr>
        <w:t>NCD-SSB and NCD-SSB, respectively</w:t>
      </w:r>
    </w:p>
    <w:p w14:paraId="521F6D34" w14:textId="04B2AEC3" w:rsidR="006703FB" w:rsidRPr="009F0F59" w:rsidRDefault="009F6C0E" w:rsidP="009F6C0E">
      <w:pPr>
        <w:pStyle w:val="ListParagraph"/>
        <w:numPr>
          <w:ilvl w:val="1"/>
          <w:numId w:val="37"/>
        </w:numPr>
        <w:rPr>
          <w:b/>
          <w:bCs/>
          <w:sz w:val="20"/>
          <w:szCs w:val="20"/>
          <w:lang w:eastAsia="zh-CN"/>
        </w:rPr>
      </w:pPr>
      <w:r w:rsidRPr="009F0F59">
        <w:rPr>
          <w:b/>
          <w:bCs/>
          <w:sz w:val="20"/>
          <w:szCs w:val="20"/>
          <w:lang w:eastAsia="zh-CN"/>
        </w:rPr>
        <w:t>CD-SSB and NCD-SSB, respectively</w:t>
      </w:r>
    </w:p>
    <w:p w14:paraId="3639056F" w14:textId="1813EC77" w:rsidR="009F6C0E" w:rsidRDefault="009F6C0E" w:rsidP="009F6C0E">
      <w:pPr>
        <w:pStyle w:val="ListParagraph"/>
        <w:numPr>
          <w:ilvl w:val="1"/>
          <w:numId w:val="37"/>
        </w:numPr>
        <w:rPr>
          <w:b/>
          <w:bCs/>
          <w:sz w:val="20"/>
          <w:szCs w:val="20"/>
          <w:lang w:eastAsia="zh-CN"/>
        </w:rPr>
      </w:pPr>
      <w:r w:rsidRPr="009F0F59">
        <w:rPr>
          <w:b/>
          <w:bCs/>
          <w:sz w:val="20"/>
          <w:szCs w:val="20"/>
          <w:lang w:eastAsia="zh-CN"/>
        </w:rPr>
        <w:t>NCD-SSB and CD-SSB, respectively</w:t>
      </w:r>
    </w:p>
    <w:p w14:paraId="4D4357D5" w14:textId="77777777" w:rsidR="00225E7C" w:rsidRPr="00225E7C" w:rsidRDefault="00225E7C" w:rsidP="00225E7C">
      <w:pPr>
        <w:pStyle w:val="ListParagraph"/>
        <w:numPr>
          <w:ilvl w:val="0"/>
          <w:numId w:val="37"/>
        </w:numPr>
        <w:rPr>
          <w:b/>
          <w:bCs/>
          <w:sz w:val="20"/>
          <w:szCs w:val="20"/>
          <w:lang w:eastAsia="zh-CN"/>
        </w:rPr>
      </w:pPr>
      <w:r w:rsidRPr="00225E7C">
        <w:rPr>
          <w:b/>
          <w:bCs/>
          <w:sz w:val="20"/>
          <w:szCs w:val="20"/>
          <w:lang w:eastAsia="zh-CN"/>
        </w:rPr>
        <w:t>One additional sample is needed for known inter-frequency handover.</w:t>
      </w:r>
    </w:p>
    <w:p w14:paraId="4F635531" w14:textId="77777777" w:rsidR="00225E7C" w:rsidRPr="00225E7C" w:rsidRDefault="00225E7C" w:rsidP="00225E7C">
      <w:pPr>
        <w:ind w:left="360"/>
        <w:rPr>
          <w:b/>
          <w:bCs/>
          <w:lang w:eastAsia="zh-CN"/>
        </w:rPr>
      </w:pPr>
    </w:p>
    <w:p w14:paraId="43EFF2A2" w14:textId="75FA4B28" w:rsidR="00477C1D" w:rsidRDefault="00ED30F8" w:rsidP="00477C1D">
      <w:pPr>
        <w:rPr>
          <w:b/>
          <w:bCs/>
          <w:u w:val="single"/>
          <w:lang w:eastAsia="zh-CN"/>
        </w:rPr>
      </w:pPr>
      <w:r>
        <w:rPr>
          <w:b/>
          <w:bCs/>
          <w:u w:val="single"/>
          <w:lang w:eastAsia="zh-CN"/>
        </w:rPr>
        <w:t>2</w:t>
      </w:r>
      <w:r w:rsidR="00477C1D">
        <w:rPr>
          <w:b/>
          <w:bCs/>
          <w:u w:val="single"/>
          <w:lang w:eastAsia="zh-CN"/>
        </w:rPr>
        <w:t xml:space="preserve">. </w:t>
      </w:r>
      <w:r>
        <w:rPr>
          <w:b/>
          <w:bCs/>
          <w:u w:val="single"/>
          <w:lang w:eastAsia="zh-CN"/>
        </w:rPr>
        <w:t>Intra-frequency vs inter-frequency handover</w:t>
      </w:r>
    </w:p>
    <w:p w14:paraId="7FE95FA0" w14:textId="0997810F" w:rsidR="00090228" w:rsidRDefault="00ED30F8" w:rsidP="00C3434E">
      <w:pPr>
        <w:rPr>
          <w:lang w:eastAsia="zh-CN"/>
        </w:rPr>
      </w:pPr>
      <w:r>
        <w:rPr>
          <w:lang w:eastAsia="zh-CN"/>
        </w:rPr>
        <w:t xml:space="preserve">The next issue is regarding the definition of intra-frequency handover and inter-frequency handover. </w:t>
      </w:r>
      <w:r w:rsidR="009704B3">
        <w:rPr>
          <w:lang w:eastAsia="zh-CN"/>
        </w:rPr>
        <w:t>With the</w:t>
      </w:r>
      <w:r w:rsidR="00A94F16">
        <w:rPr>
          <w:lang w:eastAsia="zh-CN"/>
        </w:rPr>
        <w:t xml:space="preserve"> abovementioned </w:t>
      </w:r>
      <w:r w:rsidR="009704B3">
        <w:rPr>
          <w:lang w:eastAsia="zh-CN"/>
        </w:rPr>
        <w:t xml:space="preserve">understanding, the definition of a </w:t>
      </w:r>
      <w:r w:rsidR="0057270B">
        <w:rPr>
          <w:lang w:eastAsia="zh-CN"/>
        </w:rPr>
        <w:t xml:space="preserve">known </w:t>
      </w:r>
      <w:r w:rsidR="009704B3">
        <w:rPr>
          <w:lang w:eastAsia="zh-CN"/>
        </w:rPr>
        <w:t>and</w:t>
      </w:r>
      <w:r w:rsidR="0057270B">
        <w:rPr>
          <w:lang w:eastAsia="zh-CN"/>
        </w:rPr>
        <w:t xml:space="preserve"> unknown</w:t>
      </w:r>
      <w:r w:rsidR="009704B3">
        <w:rPr>
          <w:lang w:eastAsia="zh-CN"/>
        </w:rPr>
        <w:t xml:space="preserve"> cell is clear</w:t>
      </w:r>
      <w:r w:rsidR="0057270B">
        <w:rPr>
          <w:lang w:eastAsia="zh-CN"/>
        </w:rPr>
        <w:t>,</w:t>
      </w:r>
      <w:r w:rsidR="00B90D53">
        <w:rPr>
          <w:lang w:eastAsia="zh-CN"/>
        </w:rPr>
        <w:t xml:space="preserve"> but</w:t>
      </w:r>
      <w:r w:rsidR="0057270B">
        <w:rPr>
          <w:lang w:eastAsia="zh-CN"/>
        </w:rPr>
        <w:t xml:space="preserve"> the definition of inter-frequency and intra frequency is </w:t>
      </w:r>
      <w:r w:rsidR="00B90D53">
        <w:rPr>
          <w:lang w:eastAsia="zh-CN"/>
        </w:rPr>
        <w:t xml:space="preserve">still </w:t>
      </w:r>
      <w:r w:rsidR="0057270B">
        <w:rPr>
          <w:lang w:eastAsia="zh-CN"/>
        </w:rPr>
        <w:t xml:space="preserve">not clear in the spec. </w:t>
      </w:r>
    </w:p>
    <w:p w14:paraId="4662C898" w14:textId="291779F2" w:rsidR="003C0BF3" w:rsidRDefault="003C0BF3" w:rsidP="00C3434E">
      <w:pPr>
        <w:rPr>
          <w:lang w:eastAsia="zh-CN"/>
        </w:rPr>
      </w:pPr>
    </w:p>
    <w:p w14:paraId="7A0C9D53" w14:textId="78048931" w:rsidR="00701F22" w:rsidRDefault="003C0BF3" w:rsidP="00C3434E">
      <w:pPr>
        <w:rPr>
          <w:lang w:eastAsia="zh-CN"/>
        </w:rPr>
      </w:pPr>
      <w:r>
        <w:rPr>
          <w:noProof/>
          <w:lang w:eastAsia="zh-CN"/>
        </w:rPr>
        <mc:AlternateContent>
          <mc:Choice Requires="wps">
            <w:drawing>
              <wp:anchor distT="45720" distB="45720" distL="114300" distR="114300" simplePos="0" relativeHeight="251670528" behindDoc="0" locked="0" layoutInCell="1" allowOverlap="1" wp14:anchorId="07BB6B55" wp14:editId="2B3032AD">
                <wp:simplePos x="0" y="0"/>
                <wp:positionH relativeFrom="column">
                  <wp:posOffset>26942</wp:posOffset>
                </wp:positionH>
                <wp:positionV relativeFrom="paragraph">
                  <wp:posOffset>419100</wp:posOffset>
                </wp:positionV>
                <wp:extent cx="5932805" cy="1404620"/>
                <wp:effectExtent l="0" t="0" r="1079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04620"/>
                        </a:xfrm>
                        <a:prstGeom prst="rect">
                          <a:avLst/>
                        </a:prstGeom>
                        <a:solidFill>
                          <a:srgbClr val="FFFFFF"/>
                        </a:solidFill>
                        <a:ln w="9525">
                          <a:solidFill>
                            <a:srgbClr val="000000"/>
                          </a:solidFill>
                          <a:miter lim="800000"/>
                          <a:headEnd/>
                          <a:tailEnd/>
                        </a:ln>
                      </wps:spPr>
                      <wps:txbx>
                        <w:txbxContent>
                          <w:p w14:paraId="7C2CBD09" w14:textId="2C21B631" w:rsidR="00701F22" w:rsidRPr="000E305B" w:rsidRDefault="00701F22">
                            <w:pPr>
                              <w:rPr>
                                <w:b/>
                                <w:bCs/>
                              </w:rPr>
                            </w:pPr>
                            <w:r>
                              <w:rPr>
                                <w:i/>
                                <w:iCs/>
                              </w:rPr>
                              <w:t>[TS</w:t>
                            </w:r>
                            <w:r w:rsidR="000E305B">
                              <w:rPr>
                                <w:i/>
                                <w:iCs/>
                              </w:rPr>
                              <w:t xml:space="preserve"> </w:t>
                            </w:r>
                            <w:r>
                              <w:rPr>
                                <w:i/>
                                <w:iCs/>
                              </w:rPr>
                              <w:t xml:space="preserve">38.133, Clause </w:t>
                            </w:r>
                            <w:r w:rsidR="000E305B" w:rsidRPr="000E305B">
                              <w:rPr>
                                <w:i/>
                                <w:iCs/>
                              </w:rPr>
                              <w:t>6.1.1.2.2</w:t>
                            </w:r>
                            <w:r>
                              <w:rPr>
                                <w:i/>
                                <w:iCs/>
                              </w:rPr>
                              <w:t>]</w:t>
                            </w:r>
                            <w:r w:rsidR="000E305B">
                              <w:rPr>
                                <w:i/>
                                <w:iCs/>
                              </w:rPr>
                              <w:t xml:space="preserve"> </w:t>
                            </w:r>
                            <w:r w:rsidRPr="008F2E51">
                              <w:rPr>
                                <w:i/>
                                <w:iCs/>
                              </w:rPr>
                              <w:t xml:space="preserve">In the interruption requirement a cell is known if it has been meeting the relevant cell identification requirement during the last 5 seconds otherwise it is unknown. </w:t>
                            </w:r>
                            <w:r w:rsidRPr="000E305B">
                              <w:rPr>
                                <w:b/>
                                <w:bCs/>
                                <w:i/>
                                <w:iCs/>
                              </w:rPr>
                              <w:t>Relevant cell identification requirements are described in Clause 9.2.5 for intra-frequency handover and Clause 9.3.4 for inter-frequency handover</w:t>
                            </w:r>
                            <w:r w:rsidR="000E305B">
                              <w:rPr>
                                <w:b/>
                                <w:bCs/>
                                <w:i/>
                                <w:i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BB6B55" id="_x0000_s1027" type="#_x0000_t202" style="position:absolute;margin-left:2.1pt;margin-top:33pt;width:467.1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">
                <v:textbox style="mso-fit-shape-to-text:t">
                  <w:txbxContent>
                    <w:p w14:paraId="7C2CBD09" w14:textId="2C21B631" w:rsidR="00701F22" w:rsidRPr="000E305B" w:rsidRDefault="00701F22">
                      <w:pPr>
                        <w:rPr>
                          <w:b/>
                          <w:bCs/>
                        </w:rPr>
                      </w:pPr>
                      <w:r>
                        <w:rPr>
                          <w:i/>
                          <w:iCs/>
                        </w:rPr>
                        <w:t>[TS</w:t>
                      </w:r>
                      <w:r w:rsidR="000E305B">
                        <w:rPr>
                          <w:i/>
                          <w:iCs/>
                        </w:rPr>
                        <w:t xml:space="preserve"> </w:t>
                      </w:r>
                      <w:r>
                        <w:rPr>
                          <w:i/>
                          <w:iCs/>
                        </w:rPr>
                        <w:t xml:space="preserve">38.133, Clause </w:t>
                      </w:r>
                      <w:r w:rsidR="000E305B" w:rsidRPr="000E305B">
                        <w:rPr>
                          <w:i/>
                          <w:iCs/>
                        </w:rPr>
                        <w:t>6.1.1.2.2</w:t>
                      </w:r>
                      <w:r>
                        <w:rPr>
                          <w:i/>
                          <w:iCs/>
                        </w:rPr>
                        <w:t>]</w:t>
                      </w:r>
                      <w:r w:rsidR="000E305B">
                        <w:rPr>
                          <w:i/>
                          <w:iCs/>
                        </w:rPr>
                        <w:t xml:space="preserve"> </w:t>
                      </w:r>
                      <w:r w:rsidRPr="008F2E51">
                        <w:rPr>
                          <w:i/>
                          <w:iCs/>
                        </w:rPr>
                        <w:t xml:space="preserve">In the interruption requirement a cell is known if it has been meeting the relevant cell identification requirement during the last 5 seconds otherwise it is unknown. </w:t>
                      </w:r>
                      <w:r w:rsidRPr="000E305B">
                        <w:rPr>
                          <w:b/>
                          <w:bCs/>
                          <w:i/>
                          <w:iCs/>
                        </w:rPr>
                        <w:t>Relevant cell identification requirements are described in Clause 9.2.5 for intra-frequency handover and Clause 9.3.4 for inter-frequency handover</w:t>
                      </w:r>
                      <w:r w:rsidR="000E305B">
                        <w:rPr>
                          <w:b/>
                          <w:bCs/>
                          <w:i/>
                          <w:iCs/>
                        </w:rPr>
                        <w:t>.</w:t>
                      </w:r>
                    </w:p>
                  </w:txbxContent>
                </v:textbox>
                <w10:wrap type="square"/>
              </v:shape>
            </w:pict>
          </mc:Fallback>
        </mc:AlternateContent>
      </w:r>
    </w:p>
    <w:p w14:paraId="7A0F8CD4" w14:textId="514FA6E8" w:rsidR="0057270B" w:rsidRDefault="0057270B" w:rsidP="00C3434E">
      <w:pPr>
        <w:rPr>
          <w:lang w:eastAsia="zh-CN"/>
        </w:rPr>
      </w:pPr>
    </w:p>
    <w:p w14:paraId="6B347BB0" w14:textId="03EAB234" w:rsidR="0095052B" w:rsidRDefault="0079384A" w:rsidP="00C3434E">
      <w:r>
        <w:rPr>
          <w:noProof/>
          <w:lang w:eastAsia="zh-CN"/>
        </w:rPr>
        <mc:AlternateContent>
          <mc:Choice Requires="wps">
            <w:drawing>
              <wp:anchor distT="45720" distB="45720" distL="114300" distR="114300" simplePos="0" relativeHeight="251672576" behindDoc="0" locked="0" layoutInCell="1" allowOverlap="1" wp14:anchorId="03615A76" wp14:editId="663D736A">
                <wp:simplePos x="0" y="0"/>
                <wp:positionH relativeFrom="column">
                  <wp:posOffset>27214</wp:posOffset>
                </wp:positionH>
                <wp:positionV relativeFrom="paragraph">
                  <wp:posOffset>0</wp:posOffset>
                </wp:positionV>
                <wp:extent cx="5932805" cy="140462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04620"/>
                        </a:xfrm>
                        <a:prstGeom prst="rect">
                          <a:avLst/>
                        </a:prstGeom>
                        <a:solidFill>
                          <a:srgbClr val="FFFFFF"/>
                        </a:solidFill>
                        <a:ln w="9525">
                          <a:solidFill>
                            <a:srgbClr val="000000"/>
                          </a:solidFill>
                          <a:miter lim="800000"/>
                          <a:headEnd/>
                          <a:tailEnd/>
                        </a:ln>
                      </wps:spPr>
                      <wps:txbx>
                        <w:txbxContent>
                          <w:p w14:paraId="109799B6" w14:textId="77FC0516" w:rsidR="0095052B" w:rsidRPr="000E305B" w:rsidRDefault="0095052B" w:rsidP="0095052B">
                            <w:pPr>
                              <w:rPr>
                                <w:b/>
                                <w:bCs/>
                              </w:rPr>
                            </w:pPr>
                            <w:r>
                              <w:rPr>
                                <w:i/>
                                <w:iCs/>
                              </w:rPr>
                              <w:t xml:space="preserve">[TS 38.133, Clause </w:t>
                            </w:r>
                            <w:r w:rsidR="002A63F8">
                              <w:rPr>
                                <w:i/>
                                <w:iCs/>
                              </w:rPr>
                              <w:t>9</w:t>
                            </w:r>
                            <w:r w:rsidRPr="000E305B">
                              <w:rPr>
                                <w:i/>
                                <w:iCs/>
                              </w:rPr>
                              <w:t>.2</w:t>
                            </w:r>
                            <w:r w:rsidR="002A63F8">
                              <w:rPr>
                                <w:i/>
                                <w:iCs/>
                              </w:rPr>
                              <w:t>B</w:t>
                            </w:r>
                            <w:r w:rsidRPr="000E305B">
                              <w:rPr>
                                <w:i/>
                                <w:iCs/>
                              </w:rPr>
                              <w:t>.</w:t>
                            </w:r>
                            <w:r w:rsidR="002A63F8">
                              <w:rPr>
                                <w:i/>
                                <w:iCs/>
                              </w:rPr>
                              <w:t>1</w:t>
                            </w:r>
                            <w:r>
                              <w:rPr>
                                <w:i/>
                                <w:iCs/>
                              </w:rPr>
                              <w:t xml:space="preserve">] </w:t>
                            </w:r>
                            <w:r w:rsidR="008774E3" w:rsidRPr="00B91B8E">
                              <w:t>A measurement is defined as a SSB based intra-frequency measurement provided</w:t>
                            </w:r>
                            <w:r w:rsidR="008774E3">
                              <w:t xml:space="preserve"> </w:t>
                            </w:r>
                            <w:r w:rsidR="008774E3" w:rsidRPr="00B91B8E">
                              <w:t xml:space="preserve">the centre frequency of the </w:t>
                            </w:r>
                            <w:r w:rsidR="008774E3">
                              <w:t xml:space="preserve">reference </w:t>
                            </w:r>
                            <w:r w:rsidR="008774E3" w:rsidRPr="00B91B8E">
                              <w:t>SSB of the serving cell and the centre frequency of the SSB of the neighbour cell are the same, and the subcarrier spacing of the two SSBs are also the same.</w:t>
                            </w:r>
                            <w:r w:rsidR="008774E3">
                              <w:t xml:space="preserve"> </w:t>
                            </w:r>
                            <w:r w:rsidR="008774E3" w:rsidRPr="00895596">
                              <w:rPr>
                                <w:b/>
                                <w:bCs/>
                              </w:rPr>
                              <w:t>The reference SSB is the</w:t>
                            </w:r>
                            <w:r w:rsidR="008774E3" w:rsidRPr="00895596">
                              <w:rPr>
                                <w:rFonts w:eastAsia="Malgun Gothic"/>
                                <w:b/>
                                <w:bCs/>
                                <w:lang w:val="en-US" w:eastAsia="ko-KR"/>
                              </w:rPr>
                              <w:t xml:space="preserve"> </w:t>
                            </w:r>
                            <w:r w:rsidR="008774E3" w:rsidRPr="00895596">
                              <w:rPr>
                                <w:b/>
                                <w:bCs/>
                                <w:lang w:val="en-US" w:eastAsia="ko-KR"/>
                              </w:rPr>
                              <w:t xml:space="preserve">SSB defined in BWP-specific </w:t>
                            </w:r>
                            <w:r w:rsidR="008774E3" w:rsidRPr="00895596">
                              <w:rPr>
                                <w:b/>
                                <w:bCs/>
                                <w:i/>
                                <w:lang w:val="en-US" w:eastAsia="ko-KR"/>
                              </w:rPr>
                              <w:t>servingCellMO</w:t>
                            </w:r>
                            <w:r w:rsidR="008774E3" w:rsidRPr="00895596">
                              <w:rPr>
                                <w:b/>
                                <w:bCs/>
                                <w:lang w:val="en-US" w:eastAsia="ko-KR"/>
                              </w:rPr>
                              <w:t xml:space="preserve"> under </w:t>
                            </w:r>
                            <w:r w:rsidR="008774E3" w:rsidRPr="00895596">
                              <w:rPr>
                                <w:b/>
                                <w:bCs/>
                                <w:i/>
                                <w:lang w:val="en-US" w:eastAsia="ko-KR"/>
                              </w:rPr>
                              <w:t>BWP-DownlinkDedicated</w:t>
                            </w:r>
                            <w:r w:rsidR="008774E3" w:rsidRPr="00895596">
                              <w:rPr>
                                <w:b/>
                                <w:bCs/>
                                <w:lang w:val="en-US" w:eastAsia="ko-KR"/>
                              </w:rPr>
                              <w:t xml:space="preserve"> of active DL BWP. If the field is absent, </w:t>
                            </w:r>
                            <w:r w:rsidR="008774E3" w:rsidRPr="00895596">
                              <w:rPr>
                                <w:rFonts w:eastAsia="Yu Mincho"/>
                                <w:b/>
                                <w:bCs/>
                                <w:lang w:val="en-US"/>
                              </w:rPr>
                              <w:t xml:space="preserve">the reference SSB is the </w:t>
                            </w:r>
                            <w:r w:rsidR="008774E3" w:rsidRPr="00895596">
                              <w:rPr>
                                <w:rFonts w:eastAsia="Yu Mincho"/>
                                <w:b/>
                                <w:bCs/>
                              </w:rPr>
                              <w:t xml:space="preserve">SSB defined in </w:t>
                            </w:r>
                            <w:r w:rsidR="008774E3" w:rsidRPr="00895596">
                              <w:rPr>
                                <w:rFonts w:eastAsia="Yu Mincho"/>
                                <w:b/>
                                <w:bCs/>
                                <w:i/>
                              </w:rPr>
                              <w:t>servingCellMO</w:t>
                            </w:r>
                            <w:r w:rsidR="008774E3" w:rsidRPr="00895596">
                              <w:rPr>
                                <w:rFonts w:eastAsia="Yu Mincho"/>
                                <w:b/>
                                <w:bCs/>
                              </w:rPr>
                              <w:t xml:space="preserve"> under </w:t>
                            </w:r>
                            <w:r w:rsidR="008774E3" w:rsidRPr="00895596">
                              <w:rPr>
                                <w:rFonts w:eastAsia="Yu Mincho"/>
                                <w:b/>
                                <w:bCs/>
                                <w:i/>
                              </w:rPr>
                              <w:t>ServingCellConfig</w:t>
                            </w:r>
                            <w:r w:rsidR="008774E3">
                              <w:rPr>
                                <w:rFonts w:eastAsia="Yu Mincho"/>
                                <w:i/>
                              </w:rPr>
                              <w:t>.</w:t>
                            </w:r>
                            <w:r w:rsidR="008774E3" w:rsidRPr="00BC3FF6">
                              <w:rPr>
                                <w:rFonts w:eastAsia="Yu Mincho"/>
                                <w:iCs/>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615A76" id="_x0000_s1028" type="#_x0000_t202" style="position:absolute;margin-left:2.15pt;margin-top:0;width:467.1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">
                <v:textbox style="mso-fit-shape-to-text:t">
                  <w:txbxContent>
                    <w:p w14:paraId="109799B6" w14:textId="77FC0516" w:rsidR="0095052B" w:rsidRPr="000E305B" w:rsidRDefault="0095052B" w:rsidP="0095052B">
                      <w:pPr>
                        <w:rPr>
                          <w:b/>
                          <w:bCs/>
                        </w:rPr>
                      </w:pPr>
                      <w:r>
                        <w:rPr>
                          <w:i/>
                          <w:iCs/>
                        </w:rPr>
                        <w:t xml:space="preserve">[TS 38.133, Clause </w:t>
                      </w:r>
                      <w:r w:rsidR="002A63F8">
                        <w:rPr>
                          <w:i/>
                          <w:iCs/>
                        </w:rPr>
                        <w:t>9</w:t>
                      </w:r>
                      <w:r w:rsidRPr="000E305B">
                        <w:rPr>
                          <w:i/>
                          <w:iCs/>
                        </w:rPr>
                        <w:t>.2</w:t>
                      </w:r>
                      <w:r w:rsidR="002A63F8">
                        <w:rPr>
                          <w:i/>
                          <w:iCs/>
                        </w:rPr>
                        <w:t>B</w:t>
                      </w:r>
                      <w:r w:rsidRPr="000E305B">
                        <w:rPr>
                          <w:i/>
                          <w:iCs/>
                        </w:rPr>
                        <w:t>.</w:t>
                      </w:r>
                      <w:r w:rsidR="002A63F8">
                        <w:rPr>
                          <w:i/>
                          <w:iCs/>
                        </w:rPr>
                        <w:t>1</w:t>
                      </w:r>
                      <w:r>
                        <w:rPr>
                          <w:i/>
                          <w:iCs/>
                        </w:rPr>
                        <w:t xml:space="preserve">] </w:t>
                      </w:r>
                      <w:r w:rsidR="008774E3" w:rsidRPr="00B91B8E">
                        <w:t>A measurement is defined as a SSB based intra-frequency measurement provided</w:t>
                      </w:r>
                      <w:r w:rsidR="008774E3">
                        <w:t xml:space="preserve"> </w:t>
                      </w:r>
                      <w:r w:rsidR="008774E3" w:rsidRPr="00B91B8E">
                        <w:t xml:space="preserve">the centre frequency of the </w:t>
                      </w:r>
                      <w:r w:rsidR="008774E3">
                        <w:t xml:space="preserve">reference </w:t>
                      </w:r>
                      <w:r w:rsidR="008774E3" w:rsidRPr="00B91B8E">
                        <w:t>SSB of the serving cell and the centre frequency of the SSB of the neighbour cell are the same, and the subcarrier spacing of the two SSBs are also the same.</w:t>
                      </w:r>
                      <w:r w:rsidR="008774E3">
                        <w:t xml:space="preserve"> </w:t>
                      </w:r>
                      <w:r w:rsidR="008774E3" w:rsidRPr="00895596">
                        <w:rPr>
                          <w:b/>
                          <w:bCs/>
                        </w:rPr>
                        <w:t>The reference SSB is the</w:t>
                      </w:r>
                      <w:r w:rsidR="008774E3" w:rsidRPr="00895596">
                        <w:rPr>
                          <w:rFonts w:eastAsia="Malgun Gothic"/>
                          <w:b/>
                          <w:bCs/>
                          <w:lang w:val="en-US" w:eastAsia="ko-KR"/>
                        </w:rPr>
                        <w:t xml:space="preserve"> </w:t>
                      </w:r>
                      <w:r w:rsidR="008774E3" w:rsidRPr="00895596">
                        <w:rPr>
                          <w:b/>
                          <w:bCs/>
                          <w:lang w:val="en-US" w:eastAsia="ko-KR"/>
                        </w:rPr>
                        <w:t xml:space="preserve">SSB defined in BWP-specific </w:t>
                      </w:r>
                      <w:r w:rsidR="008774E3" w:rsidRPr="00895596">
                        <w:rPr>
                          <w:b/>
                          <w:bCs/>
                          <w:i/>
                          <w:lang w:val="en-US" w:eastAsia="ko-KR"/>
                        </w:rPr>
                        <w:t>servingCellMO</w:t>
                      </w:r>
                      <w:r w:rsidR="008774E3" w:rsidRPr="00895596">
                        <w:rPr>
                          <w:b/>
                          <w:bCs/>
                          <w:lang w:val="en-US" w:eastAsia="ko-KR"/>
                        </w:rPr>
                        <w:t xml:space="preserve"> under </w:t>
                      </w:r>
                      <w:r w:rsidR="008774E3" w:rsidRPr="00895596">
                        <w:rPr>
                          <w:b/>
                          <w:bCs/>
                          <w:i/>
                          <w:lang w:val="en-US" w:eastAsia="ko-KR"/>
                        </w:rPr>
                        <w:t>BWP-</w:t>
                      </w:r>
                      <w:proofErr w:type="spellStart"/>
                      <w:r w:rsidR="008774E3" w:rsidRPr="00895596">
                        <w:rPr>
                          <w:b/>
                          <w:bCs/>
                          <w:i/>
                          <w:lang w:val="en-US" w:eastAsia="ko-KR"/>
                        </w:rPr>
                        <w:t>DownlinkDedicated</w:t>
                      </w:r>
                      <w:proofErr w:type="spellEnd"/>
                      <w:r w:rsidR="008774E3" w:rsidRPr="00895596">
                        <w:rPr>
                          <w:b/>
                          <w:bCs/>
                          <w:lang w:val="en-US" w:eastAsia="ko-KR"/>
                        </w:rPr>
                        <w:t xml:space="preserve"> of active DL BWP. If the field is absent, </w:t>
                      </w:r>
                      <w:r w:rsidR="008774E3" w:rsidRPr="00895596">
                        <w:rPr>
                          <w:rFonts w:eastAsia="Yu Mincho"/>
                          <w:b/>
                          <w:bCs/>
                          <w:lang w:val="en-US"/>
                        </w:rPr>
                        <w:t xml:space="preserve">the reference SSB is the </w:t>
                      </w:r>
                      <w:r w:rsidR="008774E3" w:rsidRPr="00895596">
                        <w:rPr>
                          <w:rFonts w:eastAsia="Yu Mincho"/>
                          <w:b/>
                          <w:bCs/>
                        </w:rPr>
                        <w:t xml:space="preserve">SSB defined in </w:t>
                      </w:r>
                      <w:proofErr w:type="spellStart"/>
                      <w:r w:rsidR="008774E3" w:rsidRPr="00895596">
                        <w:rPr>
                          <w:rFonts w:eastAsia="Yu Mincho"/>
                          <w:b/>
                          <w:bCs/>
                          <w:i/>
                        </w:rPr>
                        <w:t>servingCellMO</w:t>
                      </w:r>
                      <w:proofErr w:type="spellEnd"/>
                      <w:r w:rsidR="008774E3" w:rsidRPr="00895596">
                        <w:rPr>
                          <w:rFonts w:eastAsia="Yu Mincho"/>
                          <w:b/>
                          <w:bCs/>
                        </w:rPr>
                        <w:t xml:space="preserve"> under </w:t>
                      </w:r>
                      <w:proofErr w:type="spellStart"/>
                      <w:r w:rsidR="008774E3" w:rsidRPr="00895596">
                        <w:rPr>
                          <w:rFonts w:eastAsia="Yu Mincho"/>
                          <w:b/>
                          <w:bCs/>
                          <w:i/>
                        </w:rPr>
                        <w:t>ServingCellConfig</w:t>
                      </w:r>
                      <w:proofErr w:type="spellEnd"/>
                      <w:r w:rsidR="008774E3">
                        <w:rPr>
                          <w:rFonts w:eastAsia="Yu Mincho"/>
                          <w:i/>
                        </w:rPr>
                        <w:t>.</w:t>
                      </w:r>
                      <w:r w:rsidR="008774E3" w:rsidRPr="00BC3FF6">
                        <w:rPr>
                          <w:rFonts w:eastAsia="Yu Mincho"/>
                          <w:iCs/>
                        </w:rPr>
                        <w:t xml:space="preserve"> </w:t>
                      </w:r>
                    </w:p>
                  </w:txbxContent>
                </v:textbox>
                <w10:wrap type="square"/>
              </v:shape>
            </w:pict>
          </mc:Fallback>
        </mc:AlternateContent>
      </w:r>
    </w:p>
    <w:p w14:paraId="447EFAD0" w14:textId="6519A0B2" w:rsidR="00347EBC" w:rsidRDefault="00D3516A" w:rsidP="00C3434E">
      <w:r>
        <w:t>The above two texts from the spec means that for a known cell intra-frequency</w:t>
      </w:r>
      <w:r w:rsidR="00995E7C">
        <w:t xml:space="preserve"> handover</w:t>
      </w:r>
      <w:r>
        <w:t xml:space="preserve"> definition is based on whether the SSB measured on the target cell is aligned with the BWP-specific servingCellMO, if defined, or servingCellMO</w:t>
      </w:r>
      <w:r w:rsidR="00995E7C">
        <w:t>. This implies that the SSB within the firstActiveBWP doesn’t determine intra/inter-frequency handover type</w:t>
      </w:r>
      <w:r w:rsidR="00415B3A">
        <w:t>. Now consider the following scenarios where case 1 and case 2 would be considered as intra-frequency handover and case 3 would be inter-frequency handover</w:t>
      </w:r>
      <w:r w:rsidR="00745655">
        <w:t xml:space="preserve"> based on the current definition. </w:t>
      </w:r>
      <w:r w:rsidR="002F2A66">
        <w:t>B</w:t>
      </w:r>
      <w:r w:rsidR="00E25E91">
        <w:t>ased on the RAN4 agreement from the last meeting, one additional sample is provided for</w:t>
      </w:r>
      <w:r w:rsidR="000841B2">
        <w:t xml:space="preserve"> fine AGC tuning in</w:t>
      </w:r>
      <w:r w:rsidR="00E25E91">
        <w:t xml:space="preserve"> case</w:t>
      </w:r>
      <w:r w:rsidR="002F2A66">
        <w:t xml:space="preserve"> of inter-frequency handover but not for intra-frequency handover</w:t>
      </w:r>
      <w:r w:rsidR="00B947D8">
        <w:t xml:space="preserve"> [2]</w:t>
      </w:r>
      <w:r w:rsidR="002F2A66">
        <w:t>.</w:t>
      </w:r>
      <w:r w:rsidR="000841B2">
        <w:t xml:space="preserve"> </w:t>
      </w:r>
      <w:r w:rsidR="00B947D8">
        <w:t>So,</w:t>
      </w:r>
      <w:r w:rsidR="00564839">
        <w:t xml:space="preserve"> case 2 below being intra-frequency would not get an extra sample but case 3 doesn’t. However, note that </w:t>
      </w:r>
      <w:r w:rsidR="001555F9">
        <w:t xml:space="preserve">the need for an extra sample is more in case 2 than in case 3 since in case 3 </w:t>
      </w:r>
      <w:r w:rsidR="008F4A54">
        <w:t xml:space="preserve">the </w:t>
      </w:r>
      <w:r w:rsidR="007C2C74">
        <w:t>AGC information of the target cell can be inferred from the AGC of the servingCellMO.</w:t>
      </w:r>
      <w:r w:rsidR="002D1AAA">
        <w:t xml:space="preserve"> We think we need to address this discrepancy and define what is intra-frequency and inter-frequency handover in a clear manner.</w:t>
      </w:r>
    </w:p>
    <w:p w14:paraId="4C3F00BF" w14:textId="2C2FBA36" w:rsidR="000F5EF1" w:rsidRDefault="000F5EF1" w:rsidP="00C3434E"/>
    <w:p w14:paraId="0217B1CC" w14:textId="0BDAB064" w:rsidR="000F5EF1" w:rsidRDefault="00C82249" w:rsidP="00C3434E">
      <w:r>
        <w:rPr>
          <w:noProof/>
        </w:rPr>
        <mc:AlternateContent>
          <mc:Choice Requires="wps">
            <w:drawing>
              <wp:anchor distT="45720" distB="45720" distL="114300" distR="114300" simplePos="0" relativeHeight="251678720" behindDoc="0" locked="0" layoutInCell="1" allowOverlap="1" wp14:anchorId="55FAAF19" wp14:editId="77C775CC">
                <wp:simplePos x="0" y="0"/>
                <wp:positionH relativeFrom="column">
                  <wp:posOffset>4810125</wp:posOffset>
                </wp:positionH>
                <wp:positionV relativeFrom="paragraph">
                  <wp:posOffset>1490345</wp:posOffset>
                </wp:positionV>
                <wp:extent cx="587375" cy="240665"/>
                <wp:effectExtent l="0" t="0" r="22225" b="26035"/>
                <wp:wrapSquare wrapText="bothSides"/>
                <wp:docPr id="2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 cy="240665"/>
                        </a:xfrm>
                        <a:prstGeom prst="rect">
                          <a:avLst/>
                        </a:prstGeom>
                        <a:solidFill>
                          <a:srgbClr val="FFFFFF"/>
                        </a:solidFill>
                        <a:ln w="9525">
                          <a:solidFill>
                            <a:srgbClr val="000000"/>
                          </a:solidFill>
                          <a:miter lim="800000"/>
                          <a:headEnd/>
                          <a:tailEnd/>
                        </a:ln>
                      </wps:spPr>
                      <wps:txbx>
                        <w:txbxContent>
                          <w:p w14:paraId="365A618A" w14:textId="04833E04" w:rsidR="00C82249" w:rsidRDefault="00C82249" w:rsidP="00C82249">
                            <w:r>
                              <w:t>Case 3</w:t>
                            </w:r>
                            <w:r w:rsidRPr="00E83322">
                              <w:rPr>
                                <w:noProof/>
                              </w:rPr>
                              <w:drawing>
                                <wp:inline distT="0" distB="0" distL="0" distR="0" wp14:anchorId="445CC5F2" wp14:editId="3622B473">
                                  <wp:extent cx="375285" cy="136525"/>
                                  <wp:effectExtent l="0" t="0" r="571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285" cy="1365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FAAF19" id="_x0000_s1029" type="#_x0000_t202" style="position:absolute;margin-left:378.75pt;margin-top:117.35pt;width:46.25pt;height:18.9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">
                <v:textbox>
                  <w:txbxContent>
                    <w:p w14:paraId="365A618A" w14:textId="04833E04" w:rsidR="00C82249" w:rsidRDefault="00C82249" w:rsidP="00C82249">
                      <w:r>
                        <w:t>Case 3</w:t>
                      </w:r>
                      <w:r w:rsidRPr="00E83322">
                        <w:rPr>
                          <w:noProof/>
                        </w:rPr>
                        <w:drawing>
                          <wp:inline distT="0" distB="0" distL="0" distR="0" wp14:anchorId="445CC5F2" wp14:editId="3622B473">
                            <wp:extent cx="375285" cy="136525"/>
                            <wp:effectExtent l="0" t="0" r="571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 cy="136525"/>
                                    </a:xfrm>
                                    <a:prstGeom prst="rect">
                                      <a:avLst/>
                                    </a:prstGeom>
                                    <a:noFill/>
                                    <a:ln>
                                      <a:noFill/>
                                    </a:ln>
                                  </pic:spPr>
                                </pic:pic>
                              </a:graphicData>
                            </a:graphic>
                          </wp:inline>
                        </w:drawing>
                      </w:r>
                    </w:p>
                  </w:txbxContent>
                </v:textbox>
                <w10:wrap type="square"/>
              </v:shape>
            </w:pict>
          </mc:Fallback>
        </mc:AlternateContent>
      </w:r>
      <w:r>
        <w:rPr>
          <w:noProof/>
        </w:rPr>
        <mc:AlternateContent>
          <mc:Choice Requires="wps">
            <w:drawing>
              <wp:anchor distT="45720" distB="45720" distL="114300" distR="114300" simplePos="0" relativeHeight="251674624" behindDoc="0" locked="0" layoutInCell="1" allowOverlap="1" wp14:anchorId="44BCDCB6" wp14:editId="5E257930">
                <wp:simplePos x="0" y="0"/>
                <wp:positionH relativeFrom="column">
                  <wp:posOffset>743991</wp:posOffset>
                </wp:positionH>
                <wp:positionV relativeFrom="paragraph">
                  <wp:posOffset>1494831</wp:posOffset>
                </wp:positionV>
                <wp:extent cx="540385" cy="236855"/>
                <wp:effectExtent l="0" t="0" r="12065" b="10795"/>
                <wp:wrapSquare wrapText="bothSides"/>
                <wp:docPr id="2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 cy="236855"/>
                        </a:xfrm>
                        <a:prstGeom prst="rect">
                          <a:avLst/>
                        </a:prstGeom>
                        <a:solidFill>
                          <a:srgbClr val="FFFFFF"/>
                        </a:solidFill>
                        <a:ln w="9525">
                          <a:solidFill>
                            <a:srgbClr val="000000"/>
                          </a:solidFill>
                          <a:miter lim="800000"/>
                          <a:headEnd/>
                          <a:tailEnd/>
                        </a:ln>
                      </wps:spPr>
                      <wps:txbx>
                        <w:txbxContent>
                          <w:p w14:paraId="6F05AFC8" w14:textId="27FDC965" w:rsidR="00E83322" w:rsidRDefault="00E83322">
                            <w:r>
                              <w:t>Case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BCDCB6" id="_x0000_s1030" type="#_x0000_t202" style="position:absolute;margin-left:58.6pt;margin-top:117.7pt;width:42.55pt;height:18.6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">
                <v:textbox>
                  <w:txbxContent>
                    <w:p w14:paraId="6F05AFC8" w14:textId="27FDC965" w:rsidR="00E83322" w:rsidRDefault="00E83322">
                      <w:r>
                        <w:t>Case 1</w:t>
                      </w:r>
                    </w:p>
                  </w:txbxContent>
                </v:textbox>
                <w10:wrap type="square"/>
              </v:shape>
            </w:pict>
          </mc:Fallback>
        </mc:AlternateContent>
      </w:r>
      <w:r>
        <w:rPr>
          <w:noProof/>
        </w:rPr>
        <mc:AlternateContent>
          <mc:Choice Requires="wps">
            <w:drawing>
              <wp:anchor distT="45720" distB="45720" distL="114300" distR="114300" simplePos="0" relativeHeight="251676672" behindDoc="0" locked="0" layoutInCell="1" allowOverlap="1" wp14:anchorId="1206E044" wp14:editId="0EF546BB">
                <wp:simplePos x="0" y="0"/>
                <wp:positionH relativeFrom="column">
                  <wp:posOffset>2787015</wp:posOffset>
                </wp:positionH>
                <wp:positionV relativeFrom="paragraph">
                  <wp:posOffset>1494790</wp:posOffset>
                </wp:positionV>
                <wp:extent cx="563880" cy="236855"/>
                <wp:effectExtent l="0" t="0" r="26670" b="10795"/>
                <wp:wrapSquare wrapText="bothSides"/>
                <wp:docPr id="2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36855"/>
                        </a:xfrm>
                        <a:prstGeom prst="rect">
                          <a:avLst/>
                        </a:prstGeom>
                        <a:solidFill>
                          <a:srgbClr val="FFFFFF"/>
                        </a:solidFill>
                        <a:ln w="9525">
                          <a:solidFill>
                            <a:srgbClr val="000000"/>
                          </a:solidFill>
                          <a:miter lim="800000"/>
                          <a:headEnd/>
                          <a:tailEnd/>
                        </a:ln>
                      </wps:spPr>
                      <wps:txbx>
                        <w:txbxContent>
                          <w:p w14:paraId="230B4CA4" w14:textId="6B63D730" w:rsidR="00E83322" w:rsidRDefault="00E83322" w:rsidP="00E83322">
                            <w:r>
                              <w:t>Case 2</w:t>
                            </w:r>
                            <w:r w:rsidRPr="00E83322">
                              <w:rPr>
                                <w:noProof/>
                              </w:rPr>
                              <w:drawing>
                                <wp:inline distT="0" distB="0" distL="0" distR="0" wp14:anchorId="3248098A" wp14:editId="3E1CA146">
                                  <wp:extent cx="375285" cy="136525"/>
                                  <wp:effectExtent l="0" t="0" r="571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285" cy="1365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06E044" id="_x0000_s1031" type="#_x0000_t202" style="position:absolute;margin-left:219.45pt;margin-top:117.7pt;width:44.4pt;height:18.6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">
                <v:textbox>
                  <w:txbxContent>
                    <w:p w14:paraId="230B4CA4" w14:textId="6B63D730" w:rsidR="00E83322" w:rsidRDefault="00E83322" w:rsidP="00E83322">
                      <w:r>
                        <w:t>Case 2</w:t>
                      </w:r>
                      <w:r w:rsidRPr="00E83322">
                        <w:rPr>
                          <w:noProof/>
                        </w:rPr>
                        <w:drawing>
                          <wp:inline distT="0" distB="0" distL="0" distR="0" wp14:anchorId="3248098A" wp14:editId="3E1CA146">
                            <wp:extent cx="375285" cy="136525"/>
                            <wp:effectExtent l="0" t="0" r="571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 cy="136525"/>
                                    </a:xfrm>
                                    <a:prstGeom prst="rect">
                                      <a:avLst/>
                                    </a:prstGeom>
                                    <a:noFill/>
                                    <a:ln>
                                      <a:noFill/>
                                    </a:ln>
                                  </pic:spPr>
                                </pic:pic>
                              </a:graphicData>
                            </a:graphic>
                          </wp:inline>
                        </w:drawing>
                      </w:r>
                    </w:p>
                  </w:txbxContent>
                </v:textbox>
                <w10:wrap type="square"/>
              </v:shape>
            </w:pict>
          </mc:Fallback>
        </mc:AlternateContent>
      </w:r>
      <w:r w:rsidR="00BC348C">
        <w:rPr>
          <w:noProof/>
        </w:rPr>
        <w:drawing>
          <wp:inline distT="0" distB="0" distL="0" distR="0" wp14:anchorId="4F825B59" wp14:editId="2C9A436F">
            <wp:extent cx="2018083" cy="1393371"/>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1671" cy="1409657"/>
                    </a:xfrm>
                    <a:prstGeom prst="rect">
                      <a:avLst/>
                    </a:prstGeom>
                    <a:noFill/>
                  </pic:spPr>
                </pic:pic>
              </a:graphicData>
            </a:graphic>
          </wp:inline>
        </w:drawing>
      </w:r>
      <w:r w:rsidR="00575100">
        <w:t xml:space="preserve">  </w:t>
      </w:r>
      <w:r w:rsidR="00575100">
        <w:rPr>
          <w:noProof/>
        </w:rPr>
        <w:drawing>
          <wp:inline distT="0" distB="0" distL="0" distR="0" wp14:anchorId="316DFADA" wp14:editId="761C5B24">
            <wp:extent cx="1979524" cy="1366749"/>
            <wp:effectExtent l="0" t="0" r="0" b="5080"/>
            <wp:docPr id="229" name="Picture 229" descr="Graphical user interface,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Picture 229" descr="Graphical user interface, treemap 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3704" cy="1383444"/>
                    </a:xfrm>
                    <a:prstGeom prst="rect">
                      <a:avLst/>
                    </a:prstGeom>
                    <a:noFill/>
                  </pic:spPr>
                </pic:pic>
              </a:graphicData>
            </a:graphic>
          </wp:inline>
        </w:drawing>
      </w:r>
      <w:r w:rsidR="002A0845">
        <w:rPr>
          <w:noProof/>
        </w:rPr>
        <w:drawing>
          <wp:inline distT="0" distB="0" distL="0" distR="0" wp14:anchorId="4DD0B174" wp14:editId="55C84DDD">
            <wp:extent cx="1981200" cy="1364898"/>
            <wp:effectExtent l="0" t="0" r="0" b="6985"/>
            <wp:docPr id="261" name="Picture 26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9875" cy="1384653"/>
                    </a:xfrm>
                    <a:prstGeom prst="rect">
                      <a:avLst/>
                    </a:prstGeom>
                    <a:noFill/>
                  </pic:spPr>
                </pic:pic>
              </a:graphicData>
            </a:graphic>
          </wp:inline>
        </w:drawing>
      </w:r>
    </w:p>
    <w:p w14:paraId="2DC789FF" w14:textId="63AA004F" w:rsidR="00BC348C" w:rsidRDefault="00BC348C" w:rsidP="00C3434E"/>
    <w:p w14:paraId="05FEA77C" w14:textId="03C95645" w:rsidR="00BC348C" w:rsidRDefault="00BC348C" w:rsidP="00C3434E"/>
    <w:p w14:paraId="4E149663" w14:textId="5975EBF6" w:rsidR="00835F98" w:rsidRDefault="002D1AAA" w:rsidP="00C3434E">
      <w:pPr>
        <w:rPr>
          <w:lang w:eastAsia="zh-CN"/>
        </w:rPr>
      </w:pPr>
      <w:r>
        <w:t>This ambiguity becomes even worse for unknown cells - the cells which have not been measured</w:t>
      </w:r>
      <w:r w:rsidR="00794487">
        <w:rPr>
          <w:lang w:eastAsia="zh-CN"/>
        </w:rPr>
        <w:t>,</w:t>
      </w:r>
      <w:r>
        <w:rPr>
          <w:lang w:eastAsia="zh-CN"/>
        </w:rPr>
        <w:t xml:space="preserve"> </w:t>
      </w:r>
      <w:r w:rsidR="00854B06">
        <w:rPr>
          <w:lang w:eastAsia="zh-CN"/>
        </w:rPr>
        <w:t>where</w:t>
      </w:r>
      <w:r>
        <w:rPr>
          <w:lang w:eastAsia="zh-CN"/>
        </w:rPr>
        <w:t xml:space="preserve"> T</w:t>
      </w:r>
      <w:r w:rsidRPr="002D1AAA">
        <w:rPr>
          <w:vertAlign w:val="subscript"/>
          <w:lang w:eastAsia="zh-CN"/>
        </w:rPr>
        <w:t>search</w:t>
      </w:r>
      <w:r>
        <w:rPr>
          <w:lang w:eastAsia="zh-CN"/>
        </w:rPr>
        <w:t xml:space="preserve"> of the handover delay is </w:t>
      </w:r>
      <w:r w:rsidR="00794487">
        <w:rPr>
          <w:lang w:eastAsia="zh-CN"/>
        </w:rPr>
        <w:t xml:space="preserve">non-zero and </w:t>
      </w:r>
      <w:r>
        <w:rPr>
          <w:lang w:eastAsia="zh-CN"/>
        </w:rPr>
        <w:t>different for intra-frequency and inter-frequency handover.</w:t>
      </w:r>
      <w:r w:rsidR="00854B06">
        <w:rPr>
          <w:lang w:eastAsia="zh-CN"/>
        </w:rPr>
        <w:t xml:space="preserve"> There may be no targetCellMO configured for this case and hence </w:t>
      </w:r>
      <w:r w:rsidR="00835F98">
        <w:rPr>
          <w:lang w:eastAsia="zh-CN"/>
        </w:rPr>
        <w:t>there</w:t>
      </w:r>
      <w:r w:rsidR="00854B06">
        <w:rPr>
          <w:lang w:eastAsia="zh-CN"/>
        </w:rPr>
        <w:t xml:space="preserve"> is no</w:t>
      </w:r>
      <w:r w:rsidR="000550FC">
        <w:rPr>
          <w:lang w:eastAsia="zh-CN"/>
        </w:rPr>
        <w:t xml:space="preserve"> specified</w:t>
      </w:r>
      <w:r w:rsidR="00854B06">
        <w:rPr>
          <w:lang w:eastAsia="zh-CN"/>
        </w:rPr>
        <w:t xml:space="preserve"> reference SSB in the target cell</w:t>
      </w:r>
      <w:r w:rsidR="00835F98">
        <w:rPr>
          <w:lang w:eastAsia="zh-CN"/>
        </w:rPr>
        <w:t xml:space="preserve">, so defining intra/inter-frequency handover based on MOs </w:t>
      </w:r>
      <w:r w:rsidR="000550FC">
        <w:rPr>
          <w:lang w:eastAsia="zh-CN"/>
        </w:rPr>
        <w:t>is not valid</w:t>
      </w:r>
      <w:r w:rsidR="00835F98">
        <w:rPr>
          <w:lang w:eastAsia="zh-CN"/>
        </w:rPr>
        <w:t>.</w:t>
      </w:r>
    </w:p>
    <w:p w14:paraId="29189A86" w14:textId="77777777" w:rsidR="002C62B9" w:rsidRDefault="00835F98" w:rsidP="00C3434E">
      <w:pPr>
        <w:rPr>
          <w:lang w:eastAsia="zh-CN"/>
        </w:rPr>
      </w:pPr>
      <w:r>
        <w:rPr>
          <w:lang w:eastAsia="zh-CN"/>
        </w:rPr>
        <w:t xml:space="preserve">The simplest way to define intra/inter-frequency handover would be to </w:t>
      </w:r>
      <w:r w:rsidR="0039294B">
        <w:rPr>
          <w:lang w:eastAsia="zh-CN"/>
        </w:rPr>
        <w:t>define a reference SSB in the serving cell and a reference SSB in the target cell, where if both the SSBs are aligned in the frequency</w:t>
      </w:r>
      <w:r w:rsidR="002C62B9">
        <w:rPr>
          <w:lang w:eastAsia="zh-CN"/>
        </w:rPr>
        <w:t>, classify it as intra-frequency handover, else inter frequency handover.</w:t>
      </w:r>
    </w:p>
    <w:p w14:paraId="385E0CE9" w14:textId="77777777" w:rsidR="002C62B9" w:rsidRDefault="002C62B9" w:rsidP="00C3434E">
      <w:pPr>
        <w:rPr>
          <w:lang w:eastAsia="zh-CN"/>
        </w:rPr>
      </w:pPr>
      <w:r>
        <w:rPr>
          <w:lang w:eastAsia="zh-CN"/>
        </w:rPr>
        <w:t>For the serving cell, we have the choice of:</w:t>
      </w:r>
    </w:p>
    <w:p w14:paraId="5826FFD5" w14:textId="07272E0C" w:rsidR="003E65FC" w:rsidRDefault="008746DC" w:rsidP="00014DB1">
      <w:pPr>
        <w:ind w:left="284"/>
        <w:rPr>
          <w:lang w:eastAsia="zh-CN"/>
        </w:rPr>
      </w:pPr>
      <w:r>
        <w:rPr>
          <w:lang w:eastAsia="zh-CN"/>
        </w:rPr>
        <w:t xml:space="preserve">Option </w:t>
      </w:r>
      <w:r w:rsidR="00984FC8">
        <w:rPr>
          <w:lang w:eastAsia="zh-CN"/>
        </w:rPr>
        <w:t>S</w:t>
      </w:r>
      <w:r w:rsidR="002C62B9">
        <w:rPr>
          <w:lang w:eastAsia="zh-CN"/>
        </w:rPr>
        <w:t>1</w:t>
      </w:r>
      <w:r w:rsidR="00984FC8">
        <w:rPr>
          <w:lang w:eastAsia="zh-CN"/>
        </w:rPr>
        <w:t xml:space="preserve"> -</w:t>
      </w:r>
      <w:r w:rsidR="00984FC8">
        <w:rPr>
          <w:lang w:eastAsia="zh-CN"/>
        </w:rPr>
        <w:tab/>
      </w:r>
      <w:r w:rsidR="003E65FC">
        <w:rPr>
          <w:lang w:eastAsia="zh-CN"/>
        </w:rPr>
        <w:t>BWP specific servingCellMO (if configured), else s</w:t>
      </w:r>
      <w:r w:rsidR="002C62B9">
        <w:rPr>
          <w:lang w:eastAsia="zh-CN"/>
        </w:rPr>
        <w:t>erving</w:t>
      </w:r>
      <w:r w:rsidR="003E65FC">
        <w:rPr>
          <w:lang w:eastAsia="zh-CN"/>
        </w:rPr>
        <w:t>CellMO</w:t>
      </w:r>
      <w:r w:rsidR="0039294B">
        <w:rPr>
          <w:lang w:eastAsia="zh-CN"/>
        </w:rPr>
        <w:t xml:space="preserve"> </w:t>
      </w:r>
    </w:p>
    <w:p w14:paraId="09DDA590" w14:textId="73D8DAD7" w:rsidR="003E65FC" w:rsidRDefault="008746DC" w:rsidP="00014DB1">
      <w:pPr>
        <w:ind w:left="284"/>
        <w:rPr>
          <w:lang w:eastAsia="zh-CN"/>
        </w:rPr>
      </w:pPr>
      <w:r>
        <w:rPr>
          <w:lang w:eastAsia="zh-CN"/>
        </w:rPr>
        <w:t xml:space="preserve">Option </w:t>
      </w:r>
      <w:r w:rsidR="00984FC8">
        <w:rPr>
          <w:lang w:eastAsia="zh-CN"/>
        </w:rPr>
        <w:t>S</w:t>
      </w:r>
      <w:r w:rsidR="003E65FC">
        <w:rPr>
          <w:lang w:eastAsia="zh-CN"/>
        </w:rPr>
        <w:t>2</w:t>
      </w:r>
      <w:r w:rsidR="00984FC8">
        <w:rPr>
          <w:lang w:eastAsia="zh-CN"/>
        </w:rPr>
        <w:t xml:space="preserve"> -</w:t>
      </w:r>
      <w:r w:rsidR="00984FC8">
        <w:rPr>
          <w:lang w:eastAsia="zh-CN"/>
        </w:rPr>
        <w:tab/>
      </w:r>
      <w:r w:rsidR="003E65FC">
        <w:rPr>
          <w:lang w:eastAsia="zh-CN"/>
        </w:rPr>
        <w:t>SSB within the active BWP</w:t>
      </w:r>
    </w:p>
    <w:p w14:paraId="4AB6116F" w14:textId="61506BCE" w:rsidR="003E65FC" w:rsidRDefault="008746DC" w:rsidP="00014DB1">
      <w:pPr>
        <w:ind w:left="284"/>
        <w:rPr>
          <w:lang w:eastAsia="zh-CN"/>
        </w:rPr>
      </w:pPr>
      <w:r>
        <w:rPr>
          <w:lang w:eastAsia="zh-CN"/>
        </w:rPr>
        <w:t xml:space="preserve">Option </w:t>
      </w:r>
      <w:r w:rsidR="00984FC8">
        <w:rPr>
          <w:lang w:eastAsia="zh-CN"/>
        </w:rPr>
        <w:t>S</w:t>
      </w:r>
      <w:r w:rsidR="003E65FC">
        <w:rPr>
          <w:lang w:eastAsia="zh-CN"/>
        </w:rPr>
        <w:t>3</w:t>
      </w:r>
      <w:r w:rsidR="00984FC8">
        <w:rPr>
          <w:lang w:eastAsia="zh-CN"/>
        </w:rPr>
        <w:t xml:space="preserve"> -</w:t>
      </w:r>
      <w:r w:rsidR="00984FC8">
        <w:rPr>
          <w:lang w:eastAsia="zh-CN"/>
        </w:rPr>
        <w:tab/>
      </w:r>
      <w:r w:rsidR="003E65FC">
        <w:rPr>
          <w:lang w:eastAsia="zh-CN"/>
        </w:rPr>
        <w:t>CD-SSB</w:t>
      </w:r>
    </w:p>
    <w:p w14:paraId="1B2D7D19" w14:textId="77777777" w:rsidR="003E65FC" w:rsidRDefault="003E65FC" w:rsidP="00C3434E">
      <w:pPr>
        <w:rPr>
          <w:lang w:eastAsia="zh-CN"/>
        </w:rPr>
      </w:pPr>
      <w:r>
        <w:rPr>
          <w:lang w:eastAsia="zh-CN"/>
        </w:rPr>
        <w:t>For the target cell, we have the choice of:</w:t>
      </w:r>
    </w:p>
    <w:p w14:paraId="53B93FB0" w14:textId="6544A7DC" w:rsidR="00467ABE" w:rsidRDefault="008746DC" w:rsidP="00014DB1">
      <w:pPr>
        <w:ind w:left="284"/>
        <w:rPr>
          <w:lang w:eastAsia="zh-CN"/>
        </w:rPr>
      </w:pPr>
      <w:r>
        <w:rPr>
          <w:lang w:eastAsia="zh-CN"/>
        </w:rPr>
        <w:t xml:space="preserve">Option </w:t>
      </w:r>
      <w:r w:rsidR="00984FC8">
        <w:rPr>
          <w:lang w:eastAsia="zh-CN"/>
        </w:rPr>
        <w:t>T</w:t>
      </w:r>
      <w:r w:rsidR="003E65FC">
        <w:rPr>
          <w:lang w:eastAsia="zh-CN"/>
        </w:rPr>
        <w:t>1</w:t>
      </w:r>
      <w:r w:rsidR="004B63D5">
        <w:rPr>
          <w:lang w:eastAsia="zh-CN"/>
        </w:rPr>
        <w:t xml:space="preserve"> </w:t>
      </w:r>
      <w:r w:rsidR="00984FC8">
        <w:rPr>
          <w:lang w:eastAsia="zh-CN"/>
        </w:rPr>
        <w:t xml:space="preserve">- </w:t>
      </w:r>
      <w:r w:rsidR="00984FC8">
        <w:rPr>
          <w:lang w:eastAsia="zh-CN"/>
        </w:rPr>
        <w:tab/>
      </w:r>
      <w:r w:rsidR="003E65FC">
        <w:rPr>
          <w:lang w:eastAsia="zh-CN"/>
        </w:rPr>
        <w:t>SSB configured in the targetCellMO</w:t>
      </w:r>
      <w:r w:rsidR="00467ABE">
        <w:rPr>
          <w:lang w:eastAsia="zh-CN"/>
        </w:rPr>
        <w:t>, if configured</w:t>
      </w:r>
    </w:p>
    <w:p w14:paraId="3FA4C107" w14:textId="15E87D97" w:rsidR="0095052B" w:rsidRPr="002D1AAA" w:rsidRDefault="008746DC" w:rsidP="00014DB1">
      <w:pPr>
        <w:ind w:left="284"/>
        <w:rPr>
          <w:lang w:eastAsia="zh-CN"/>
        </w:rPr>
      </w:pPr>
      <w:r>
        <w:rPr>
          <w:lang w:eastAsia="zh-CN"/>
        </w:rPr>
        <w:t xml:space="preserve">Option </w:t>
      </w:r>
      <w:r w:rsidR="00984FC8">
        <w:rPr>
          <w:lang w:eastAsia="zh-CN"/>
        </w:rPr>
        <w:t>T</w:t>
      </w:r>
      <w:r w:rsidR="00467ABE">
        <w:rPr>
          <w:lang w:eastAsia="zh-CN"/>
        </w:rPr>
        <w:t>2</w:t>
      </w:r>
      <w:r w:rsidR="004B63D5">
        <w:rPr>
          <w:lang w:eastAsia="zh-CN"/>
        </w:rPr>
        <w:t xml:space="preserve"> </w:t>
      </w:r>
      <w:r w:rsidR="00984FC8">
        <w:rPr>
          <w:lang w:eastAsia="zh-CN"/>
        </w:rPr>
        <w:t xml:space="preserve">- </w:t>
      </w:r>
      <w:r w:rsidR="00984FC8">
        <w:rPr>
          <w:lang w:eastAsia="zh-CN"/>
        </w:rPr>
        <w:tab/>
      </w:r>
      <w:r w:rsidR="00467ABE">
        <w:rPr>
          <w:lang w:eastAsia="zh-CN"/>
        </w:rPr>
        <w:t>SSB within the first Active BWP</w:t>
      </w:r>
      <w:r w:rsidR="00835F98">
        <w:rPr>
          <w:lang w:eastAsia="zh-CN"/>
        </w:rPr>
        <w:t xml:space="preserve"> </w:t>
      </w:r>
      <w:r w:rsidR="00854B06">
        <w:rPr>
          <w:lang w:eastAsia="zh-CN"/>
        </w:rPr>
        <w:t xml:space="preserve"> </w:t>
      </w:r>
      <w:r w:rsidR="00794487">
        <w:rPr>
          <w:lang w:eastAsia="zh-CN"/>
        </w:rPr>
        <w:t xml:space="preserve"> </w:t>
      </w:r>
    </w:p>
    <w:p w14:paraId="73ECCF89" w14:textId="041104FA" w:rsidR="00014DB1" w:rsidRPr="00984FC8" w:rsidRDefault="00D871E7" w:rsidP="00C3434E">
      <w:pPr>
        <w:rPr>
          <w:lang w:eastAsia="zh-CN"/>
        </w:rPr>
      </w:pPr>
      <w:r>
        <w:rPr>
          <w:lang w:eastAsia="zh-CN"/>
        </w:rPr>
        <w:t>We already consider option S1 for defining handover type for known cell cases, so that can be used as is. For target cell, c</w:t>
      </w:r>
      <w:r w:rsidR="00816011">
        <w:rPr>
          <w:lang w:eastAsia="zh-CN"/>
        </w:rPr>
        <w:t xml:space="preserve">onsidering all possible scenarios, we think </w:t>
      </w:r>
      <w:r w:rsidR="008746DC">
        <w:rPr>
          <w:lang w:eastAsia="zh-CN"/>
        </w:rPr>
        <w:t>defining T2 as the reference SSB make the most sense</w:t>
      </w:r>
      <w:r w:rsidR="0092584E">
        <w:rPr>
          <w:lang w:eastAsia="zh-CN"/>
        </w:rPr>
        <w:t>.</w:t>
      </w:r>
    </w:p>
    <w:p w14:paraId="39C55244" w14:textId="46C19F88" w:rsidR="00E20126" w:rsidRDefault="00E20126" w:rsidP="00C3434E">
      <w:pPr>
        <w:rPr>
          <w:b/>
          <w:bCs/>
          <w:lang w:eastAsia="zh-CN"/>
        </w:rPr>
      </w:pPr>
      <w:r>
        <w:rPr>
          <w:b/>
          <w:bCs/>
          <w:lang w:eastAsia="zh-CN"/>
        </w:rPr>
        <w:t xml:space="preserve">Observation </w:t>
      </w:r>
      <w:r w:rsidR="00B90D53">
        <w:rPr>
          <w:b/>
          <w:bCs/>
          <w:lang w:eastAsia="zh-CN"/>
        </w:rPr>
        <w:t>2</w:t>
      </w:r>
      <w:r>
        <w:rPr>
          <w:b/>
          <w:bCs/>
          <w:lang w:eastAsia="zh-CN"/>
        </w:rPr>
        <w:t>: The definition of intra-frequency and inter-frequency handover for RedCap UEs is not clear in the spec (TS 38.133).</w:t>
      </w:r>
    </w:p>
    <w:p w14:paraId="6DCEDACD" w14:textId="05B84F8C" w:rsidR="006C3FBB" w:rsidRDefault="005E4D75" w:rsidP="00C3434E">
      <w:pPr>
        <w:rPr>
          <w:b/>
          <w:bCs/>
          <w:lang w:eastAsia="zh-CN"/>
        </w:rPr>
      </w:pPr>
      <w:r>
        <w:rPr>
          <w:b/>
          <w:bCs/>
          <w:lang w:eastAsia="zh-CN"/>
        </w:rPr>
        <w:t xml:space="preserve">Observation </w:t>
      </w:r>
      <w:r w:rsidR="00B90D53">
        <w:rPr>
          <w:b/>
          <w:bCs/>
          <w:lang w:eastAsia="zh-CN"/>
        </w:rPr>
        <w:t>3</w:t>
      </w:r>
      <w:r>
        <w:rPr>
          <w:b/>
          <w:bCs/>
          <w:lang w:eastAsia="zh-CN"/>
        </w:rPr>
        <w:t>: Defining intra/inter-frequency</w:t>
      </w:r>
      <w:r w:rsidR="006C3FBB">
        <w:rPr>
          <w:b/>
          <w:bCs/>
          <w:lang w:eastAsia="zh-CN"/>
        </w:rPr>
        <w:t xml:space="preserve"> handover</w:t>
      </w:r>
      <w:r>
        <w:rPr>
          <w:b/>
          <w:bCs/>
          <w:lang w:eastAsia="zh-CN"/>
        </w:rPr>
        <w:t xml:space="preserve"> </w:t>
      </w:r>
      <w:r w:rsidR="006C3FBB">
        <w:rPr>
          <w:b/>
          <w:bCs/>
          <w:lang w:eastAsia="zh-CN"/>
        </w:rPr>
        <w:t>same as</w:t>
      </w:r>
      <w:r>
        <w:rPr>
          <w:b/>
          <w:bCs/>
          <w:lang w:eastAsia="zh-CN"/>
        </w:rPr>
        <w:t xml:space="preserve"> </w:t>
      </w:r>
      <w:r w:rsidR="006C3FBB">
        <w:rPr>
          <w:b/>
          <w:bCs/>
          <w:lang w:eastAsia="zh-CN"/>
        </w:rPr>
        <w:t>intra/inter-frequency</w:t>
      </w:r>
      <w:r w:rsidR="00AF2515">
        <w:rPr>
          <w:b/>
          <w:bCs/>
          <w:lang w:eastAsia="zh-CN"/>
        </w:rPr>
        <w:t xml:space="preserve"> </w:t>
      </w:r>
      <w:r>
        <w:rPr>
          <w:b/>
          <w:bCs/>
          <w:lang w:eastAsia="zh-CN"/>
        </w:rPr>
        <w:t>measurement type</w:t>
      </w:r>
      <w:r w:rsidR="00AF2515">
        <w:rPr>
          <w:b/>
          <w:bCs/>
          <w:lang w:eastAsia="zh-CN"/>
        </w:rPr>
        <w:t xml:space="preserve"> may not apply for unknown cell handover cases.</w:t>
      </w:r>
    </w:p>
    <w:p w14:paraId="555B8E06" w14:textId="33ACE1D6" w:rsidR="005E4D75" w:rsidRPr="006C3FBB" w:rsidRDefault="006C3FBB" w:rsidP="006C3FBB">
      <w:pPr>
        <w:pStyle w:val="ListParagraph"/>
        <w:numPr>
          <w:ilvl w:val="0"/>
          <w:numId w:val="36"/>
        </w:numPr>
        <w:rPr>
          <w:b/>
          <w:bCs/>
          <w:sz w:val="20"/>
          <w:szCs w:val="20"/>
          <w:lang w:eastAsia="zh-CN"/>
        </w:rPr>
      </w:pPr>
      <w:r w:rsidRPr="006C3FBB">
        <w:rPr>
          <w:b/>
          <w:bCs/>
          <w:sz w:val="20"/>
          <w:szCs w:val="20"/>
        </w:rPr>
        <w:t xml:space="preserve">A measurement is defined as a SSB based intra-frequency measurement provided the centre frequency of the reference SSB of the serving cell and the centre frequency of the SSB of the neighbour cell are the same, and the subcarrier spacing of the two SSBs are also the same. </w:t>
      </w:r>
      <w:r w:rsidRPr="006C3FBB">
        <w:rPr>
          <w:b/>
          <w:bCs/>
          <w:sz w:val="20"/>
          <w:szCs w:val="20"/>
          <w:u w:val="single"/>
        </w:rPr>
        <w:t>The reference SSB is the</w:t>
      </w:r>
      <w:r w:rsidRPr="006C3FBB">
        <w:rPr>
          <w:rFonts w:eastAsia="Malgun Gothic"/>
          <w:b/>
          <w:bCs/>
          <w:sz w:val="20"/>
          <w:szCs w:val="20"/>
          <w:u w:val="single"/>
          <w:lang w:eastAsia="ko-KR"/>
        </w:rPr>
        <w:t xml:space="preserve"> </w:t>
      </w:r>
      <w:r w:rsidRPr="006C3FBB">
        <w:rPr>
          <w:b/>
          <w:bCs/>
          <w:sz w:val="20"/>
          <w:szCs w:val="20"/>
          <w:u w:val="single"/>
          <w:lang w:eastAsia="ko-KR"/>
        </w:rPr>
        <w:t xml:space="preserve">SSB defined in BWP-specific </w:t>
      </w:r>
      <w:r w:rsidRPr="006C3FBB">
        <w:rPr>
          <w:b/>
          <w:bCs/>
          <w:i/>
          <w:sz w:val="20"/>
          <w:szCs w:val="20"/>
          <w:u w:val="single"/>
          <w:lang w:eastAsia="ko-KR"/>
        </w:rPr>
        <w:t>servingCellMO</w:t>
      </w:r>
      <w:r w:rsidRPr="006C3FBB">
        <w:rPr>
          <w:b/>
          <w:bCs/>
          <w:sz w:val="20"/>
          <w:szCs w:val="20"/>
          <w:u w:val="single"/>
          <w:lang w:eastAsia="ko-KR"/>
        </w:rPr>
        <w:t xml:space="preserve"> under </w:t>
      </w:r>
      <w:r w:rsidRPr="006C3FBB">
        <w:rPr>
          <w:b/>
          <w:bCs/>
          <w:i/>
          <w:sz w:val="20"/>
          <w:szCs w:val="20"/>
          <w:u w:val="single"/>
          <w:lang w:eastAsia="ko-KR"/>
        </w:rPr>
        <w:t>BWP-DownlinkDedicated</w:t>
      </w:r>
      <w:r w:rsidRPr="006C3FBB">
        <w:rPr>
          <w:b/>
          <w:bCs/>
          <w:sz w:val="20"/>
          <w:szCs w:val="20"/>
          <w:u w:val="single"/>
          <w:lang w:eastAsia="ko-KR"/>
        </w:rPr>
        <w:t xml:space="preserve"> of active DL BWP. If the field is absent, </w:t>
      </w:r>
      <w:r w:rsidRPr="006C3FBB">
        <w:rPr>
          <w:rFonts w:eastAsia="Yu Mincho"/>
          <w:b/>
          <w:bCs/>
          <w:sz w:val="20"/>
          <w:szCs w:val="20"/>
          <w:u w:val="single"/>
        </w:rPr>
        <w:t xml:space="preserve">the reference SSB is the SSB defined in </w:t>
      </w:r>
      <w:r w:rsidRPr="006C3FBB">
        <w:rPr>
          <w:rFonts w:eastAsia="Yu Mincho"/>
          <w:b/>
          <w:bCs/>
          <w:i/>
          <w:sz w:val="20"/>
          <w:szCs w:val="20"/>
          <w:u w:val="single"/>
        </w:rPr>
        <w:t>servingCellMO</w:t>
      </w:r>
      <w:r w:rsidRPr="006C3FBB">
        <w:rPr>
          <w:rFonts w:eastAsia="Yu Mincho"/>
          <w:b/>
          <w:bCs/>
          <w:sz w:val="20"/>
          <w:szCs w:val="20"/>
          <w:u w:val="single"/>
        </w:rPr>
        <w:t xml:space="preserve"> under </w:t>
      </w:r>
      <w:r w:rsidRPr="006C3FBB">
        <w:rPr>
          <w:rFonts w:eastAsia="Yu Mincho"/>
          <w:b/>
          <w:bCs/>
          <w:i/>
          <w:sz w:val="20"/>
          <w:szCs w:val="20"/>
          <w:u w:val="single"/>
        </w:rPr>
        <w:t>ServingCellConfig</w:t>
      </w:r>
      <w:r w:rsidR="00AF2515" w:rsidRPr="006C3FBB">
        <w:rPr>
          <w:b/>
          <w:bCs/>
          <w:sz w:val="20"/>
          <w:szCs w:val="20"/>
          <w:lang w:eastAsia="zh-CN"/>
        </w:rPr>
        <w:t xml:space="preserve"> </w:t>
      </w:r>
    </w:p>
    <w:p w14:paraId="5625785D" w14:textId="77777777" w:rsidR="006C3FBB" w:rsidRDefault="006C3FBB" w:rsidP="00C3434E">
      <w:pPr>
        <w:rPr>
          <w:b/>
          <w:bCs/>
          <w:lang w:eastAsia="zh-CN"/>
        </w:rPr>
      </w:pPr>
    </w:p>
    <w:p w14:paraId="59DA5480" w14:textId="2933F852" w:rsidR="00E50C2C" w:rsidRDefault="003F501E" w:rsidP="00C3434E">
      <w:pPr>
        <w:rPr>
          <w:b/>
          <w:bCs/>
          <w:lang w:eastAsia="zh-CN"/>
        </w:rPr>
      </w:pPr>
      <w:r>
        <w:rPr>
          <w:b/>
          <w:bCs/>
          <w:lang w:eastAsia="zh-CN"/>
        </w:rPr>
        <w:t>Proposal</w:t>
      </w:r>
      <w:r w:rsidRPr="0023591A">
        <w:rPr>
          <w:b/>
          <w:bCs/>
          <w:lang w:eastAsia="zh-CN"/>
        </w:rPr>
        <w:t xml:space="preserve"> </w:t>
      </w:r>
      <w:r w:rsidR="00A012ED">
        <w:rPr>
          <w:b/>
          <w:bCs/>
          <w:lang w:eastAsia="zh-CN"/>
        </w:rPr>
        <w:t>2</w:t>
      </w:r>
      <w:r>
        <w:rPr>
          <w:b/>
          <w:bCs/>
          <w:lang w:eastAsia="zh-CN"/>
        </w:rPr>
        <w:t xml:space="preserve">: </w:t>
      </w:r>
      <w:r w:rsidR="00B415EB">
        <w:rPr>
          <w:b/>
          <w:bCs/>
          <w:lang w:eastAsia="zh-CN"/>
        </w:rPr>
        <w:t xml:space="preserve">RAN4 to </w:t>
      </w:r>
      <w:r w:rsidR="00A012ED">
        <w:rPr>
          <w:b/>
          <w:bCs/>
          <w:lang w:eastAsia="zh-CN"/>
        </w:rPr>
        <w:t xml:space="preserve">clarify the </w:t>
      </w:r>
      <w:r w:rsidR="00B415EB">
        <w:rPr>
          <w:b/>
          <w:bCs/>
          <w:lang w:eastAsia="zh-CN"/>
        </w:rPr>
        <w:t>defin</w:t>
      </w:r>
      <w:r w:rsidR="00A012ED">
        <w:rPr>
          <w:b/>
          <w:bCs/>
          <w:lang w:eastAsia="zh-CN"/>
        </w:rPr>
        <w:t>ition of</w:t>
      </w:r>
      <w:r w:rsidR="00B415EB">
        <w:rPr>
          <w:b/>
          <w:bCs/>
          <w:lang w:eastAsia="zh-CN"/>
        </w:rPr>
        <w:t xml:space="preserve"> intra-frequency and inter-frequency handover </w:t>
      </w:r>
      <w:r w:rsidR="00DC0F66">
        <w:rPr>
          <w:b/>
          <w:bCs/>
          <w:lang w:eastAsia="zh-CN"/>
        </w:rPr>
        <w:t>in the spec.</w:t>
      </w:r>
    </w:p>
    <w:p w14:paraId="2AA1C4E2" w14:textId="50427512" w:rsidR="00DC0F66" w:rsidRDefault="00DC0F66" w:rsidP="00C3434E">
      <w:pPr>
        <w:rPr>
          <w:b/>
          <w:bCs/>
          <w:lang w:eastAsia="zh-CN"/>
        </w:rPr>
      </w:pPr>
      <w:r>
        <w:rPr>
          <w:b/>
          <w:bCs/>
          <w:lang w:eastAsia="zh-CN"/>
        </w:rPr>
        <w:t xml:space="preserve">Proposal </w:t>
      </w:r>
      <w:r w:rsidR="00A012ED">
        <w:rPr>
          <w:b/>
          <w:bCs/>
          <w:lang w:eastAsia="zh-CN"/>
        </w:rPr>
        <w:t>3</w:t>
      </w:r>
      <w:r>
        <w:rPr>
          <w:b/>
          <w:bCs/>
          <w:lang w:eastAsia="zh-CN"/>
        </w:rPr>
        <w:t xml:space="preserve">: </w:t>
      </w:r>
      <w:r w:rsidR="00702DB3" w:rsidRPr="00702DB3">
        <w:rPr>
          <w:b/>
          <w:bCs/>
          <w:lang w:eastAsia="zh-CN"/>
        </w:rPr>
        <w:t xml:space="preserve">Handover for a RedCap UE is defined as intra-frequency handover if the center frequency and subcarrier spacing (SCS) of the </w:t>
      </w:r>
      <w:r w:rsidR="00702DB3" w:rsidRPr="00702DB3">
        <w:rPr>
          <w:b/>
          <w:bCs/>
          <w:u w:val="single"/>
          <w:lang w:eastAsia="zh-CN"/>
        </w:rPr>
        <w:t xml:space="preserve">reference SSB of the serving cell </w:t>
      </w:r>
      <w:r w:rsidR="00702DB3" w:rsidRPr="00702DB3">
        <w:rPr>
          <w:b/>
          <w:bCs/>
          <w:lang w:eastAsia="zh-CN"/>
        </w:rPr>
        <w:t xml:space="preserve">is same as the center frequency and SCS of the </w:t>
      </w:r>
      <w:r w:rsidR="00702DB3" w:rsidRPr="00702DB3">
        <w:rPr>
          <w:b/>
          <w:bCs/>
          <w:u w:val="single"/>
          <w:lang w:eastAsia="zh-CN"/>
        </w:rPr>
        <w:t>reference SSB of the target cell</w:t>
      </w:r>
      <w:r w:rsidR="00AE5B72">
        <w:rPr>
          <w:b/>
          <w:bCs/>
          <w:u w:val="single"/>
          <w:lang w:eastAsia="zh-CN"/>
        </w:rPr>
        <w:t>,</w:t>
      </w:r>
      <w:r w:rsidR="00702DB3" w:rsidRPr="00702DB3">
        <w:rPr>
          <w:b/>
          <w:bCs/>
          <w:lang w:eastAsia="zh-CN"/>
        </w:rPr>
        <w:t xml:space="preserve"> where</w:t>
      </w:r>
      <w:r w:rsidR="00AE5B72">
        <w:rPr>
          <w:b/>
          <w:bCs/>
          <w:lang w:eastAsia="zh-CN"/>
        </w:rPr>
        <w:t>:</w:t>
      </w:r>
    </w:p>
    <w:p w14:paraId="2C165010" w14:textId="186641E1" w:rsidR="00252F8B" w:rsidRPr="00252F8B" w:rsidRDefault="00252F8B" w:rsidP="00252F8B">
      <w:pPr>
        <w:pStyle w:val="ListParagraph"/>
        <w:numPr>
          <w:ilvl w:val="0"/>
          <w:numId w:val="34"/>
        </w:numPr>
        <w:rPr>
          <w:rFonts w:eastAsia="MS Mincho"/>
          <w:b/>
          <w:bCs/>
          <w:sz w:val="20"/>
          <w:szCs w:val="20"/>
          <w:lang w:eastAsia="zh-CN"/>
        </w:rPr>
      </w:pPr>
      <w:r w:rsidRPr="00252F8B">
        <w:rPr>
          <w:rFonts w:eastAsia="MS Mincho"/>
          <w:b/>
          <w:bCs/>
          <w:sz w:val="20"/>
          <w:szCs w:val="20"/>
          <w:lang w:val="en-GB" w:eastAsia="zh-CN"/>
        </w:rPr>
        <w:t>The reference SSB of the serving cell is</w:t>
      </w:r>
      <w:r>
        <w:rPr>
          <w:rFonts w:eastAsia="MS Mincho"/>
          <w:b/>
          <w:bCs/>
          <w:sz w:val="20"/>
          <w:szCs w:val="20"/>
          <w:lang w:val="en-GB" w:eastAsia="zh-CN"/>
        </w:rPr>
        <w:t xml:space="preserve"> </w:t>
      </w:r>
      <w:r w:rsidR="00C27B12">
        <w:rPr>
          <w:rFonts w:eastAsia="MS Mincho"/>
          <w:b/>
          <w:bCs/>
          <w:sz w:val="20"/>
          <w:szCs w:val="20"/>
          <w:lang w:val="en-GB" w:eastAsia="zh-CN"/>
        </w:rPr>
        <w:t xml:space="preserve">the </w:t>
      </w:r>
      <w:r w:rsidRPr="00252F8B">
        <w:rPr>
          <w:rFonts w:eastAsia="MS Mincho"/>
          <w:b/>
          <w:bCs/>
          <w:sz w:val="20"/>
          <w:szCs w:val="20"/>
          <w:lang w:eastAsia="zh-CN"/>
        </w:rPr>
        <w:t xml:space="preserve">SSB configured in the </w:t>
      </w:r>
      <w:r w:rsidRPr="00252F8B">
        <w:rPr>
          <w:rFonts w:eastAsia="MS Mincho"/>
          <w:b/>
          <w:bCs/>
          <w:i/>
          <w:iCs/>
          <w:sz w:val="20"/>
          <w:szCs w:val="20"/>
          <w:lang w:eastAsia="zh-CN"/>
        </w:rPr>
        <w:t>BWP-specific</w:t>
      </w:r>
      <w:r w:rsidRPr="00252F8B">
        <w:rPr>
          <w:rFonts w:eastAsia="MS Mincho"/>
          <w:b/>
          <w:bCs/>
          <w:sz w:val="20"/>
          <w:szCs w:val="20"/>
          <w:lang w:eastAsia="zh-CN"/>
        </w:rPr>
        <w:t xml:space="preserve"> </w:t>
      </w:r>
      <w:r w:rsidRPr="00252F8B">
        <w:rPr>
          <w:rFonts w:eastAsia="MS Mincho"/>
          <w:b/>
          <w:bCs/>
          <w:i/>
          <w:iCs/>
          <w:sz w:val="20"/>
          <w:szCs w:val="20"/>
          <w:lang w:eastAsia="zh-CN"/>
        </w:rPr>
        <w:t>servingCellMO</w:t>
      </w:r>
      <w:r w:rsidRPr="00252F8B">
        <w:rPr>
          <w:rFonts w:eastAsia="MS Mincho"/>
          <w:b/>
          <w:bCs/>
          <w:sz w:val="20"/>
          <w:szCs w:val="20"/>
          <w:lang w:eastAsia="zh-CN"/>
        </w:rPr>
        <w:t>, if configured</w:t>
      </w:r>
      <w:r w:rsidR="00C27B12">
        <w:rPr>
          <w:rFonts w:eastAsia="MS Mincho"/>
          <w:b/>
          <w:bCs/>
          <w:sz w:val="20"/>
          <w:szCs w:val="20"/>
          <w:lang w:eastAsia="zh-CN"/>
        </w:rPr>
        <w:t xml:space="preserve">, </w:t>
      </w:r>
      <w:r w:rsidR="00133210">
        <w:rPr>
          <w:rFonts w:eastAsia="MS Mincho"/>
          <w:b/>
          <w:bCs/>
          <w:sz w:val="20"/>
          <w:szCs w:val="20"/>
          <w:lang w:eastAsia="zh-CN"/>
        </w:rPr>
        <w:t>else the SSB configured in the</w:t>
      </w:r>
      <w:r w:rsidR="00C27B12">
        <w:rPr>
          <w:rFonts w:eastAsia="MS Mincho"/>
          <w:b/>
          <w:bCs/>
          <w:sz w:val="20"/>
          <w:szCs w:val="20"/>
          <w:lang w:eastAsia="zh-CN"/>
        </w:rPr>
        <w:t xml:space="preserve"> </w:t>
      </w:r>
      <w:r w:rsidRPr="00252F8B">
        <w:rPr>
          <w:rFonts w:eastAsia="MS Mincho"/>
          <w:b/>
          <w:bCs/>
          <w:i/>
          <w:iCs/>
          <w:sz w:val="20"/>
          <w:szCs w:val="20"/>
          <w:lang w:eastAsia="zh-CN"/>
        </w:rPr>
        <w:t>servingCellMO</w:t>
      </w:r>
    </w:p>
    <w:p w14:paraId="327BB14E" w14:textId="66F5A7EB" w:rsidR="00252F8B" w:rsidRPr="00252F8B" w:rsidRDefault="00252F8B" w:rsidP="00252F8B">
      <w:pPr>
        <w:pStyle w:val="ListParagraph"/>
        <w:numPr>
          <w:ilvl w:val="0"/>
          <w:numId w:val="34"/>
        </w:numPr>
        <w:rPr>
          <w:rFonts w:eastAsia="MS Mincho"/>
          <w:b/>
          <w:bCs/>
          <w:sz w:val="20"/>
          <w:szCs w:val="20"/>
          <w:lang w:val="en-GB" w:eastAsia="zh-CN"/>
        </w:rPr>
      </w:pPr>
      <w:r w:rsidRPr="00252F8B">
        <w:rPr>
          <w:rFonts w:eastAsia="MS Mincho"/>
          <w:b/>
          <w:bCs/>
          <w:sz w:val="20"/>
          <w:szCs w:val="20"/>
          <w:lang w:val="en-GB" w:eastAsia="zh-CN"/>
        </w:rPr>
        <w:t>The reference SSB of the target cell is</w:t>
      </w:r>
      <w:r w:rsidR="00133210">
        <w:rPr>
          <w:rFonts w:eastAsia="MS Mincho"/>
          <w:b/>
          <w:bCs/>
          <w:sz w:val="20"/>
          <w:szCs w:val="20"/>
          <w:lang w:val="en-GB" w:eastAsia="zh-CN"/>
        </w:rPr>
        <w:t xml:space="preserve"> the </w:t>
      </w:r>
      <w:r w:rsidR="00133210" w:rsidRPr="00133210">
        <w:rPr>
          <w:rFonts w:eastAsia="MS Mincho"/>
          <w:b/>
          <w:bCs/>
          <w:sz w:val="20"/>
          <w:szCs w:val="20"/>
          <w:lang w:val="en-GB" w:eastAsia="zh-CN"/>
        </w:rPr>
        <w:t xml:space="preserve">SSB configured in the </w:t>
      </w:r>
      <w:r w:rsidR="00133210" w:rsidRPr="00133210">
        <w:rPr>
          <w:rFonts w:eastAsia="MS Mincho"/>
          <w:b/>
          <w:bCs/>
          <w:i/>
          <w:iCs/>
          <w:sz w:val="20"/>
          <w:szCs w:val="20"/>
          <w:lang w:val="en-GB" w:eastAsia="zh-CN"/>
        </w:rPr>
        <w:t xml:space="preserve">firstActiveBWP </w:t>
      </w:r>
      <w:r w:rsidR="00133210" w:rsidRPr="00133210">
        <w:rPr>
          <w:rFonts w:eastAsia="MS Mincho"/>
          <w:b/>
          <w:bCs/>
          <w:sz w:val="20"/>
          <w:szCs w:val="20"/>
          <w:lang w:val="en-GB" w:eastAsia="zh-CN"/>
        </w:rPr>
        <w:t>of the target cell</w:t>
      </w:r>
    </w:p>
    <w:p w14:paraId="5E53DF12" w14:textId="7A177795" w:rsidR="00F67424" w:rsidRDefault="00F67424" w:rsidP="00DF7FD2">
      <w:pPr>
        <w:pStyle w:val="Heading1"/>
        <w:rPr>
          <w:lang w:eastAsia="zh-CN"/>
        </w:rPr>
      </w:pPr>
      <w:r>
        <w:rPr>
          <w:lang w:eastAsia="zh-CN"/>
        </w:rPr>
        <w:t>RRC re-establishment</w:t>
      </w:r>
    </w:p>
    <w:p w14:paraId="2CFD9F6F" w14:textId="5061BF2D" w:rsidR="00ED17CE" w:rsidRDefault="00F67424" w:rsidP="009F7394">
      <w:pPr>
        <w:rPr>
          <w:lang w:eastAsia="zh-CN"/>
        </w:rPr>
      </w:pPr>
      <w:r>
        <w:rPr>
          <w:lang w:eastAsia="zh-CN"/>
        </w:rPr>
        <w:t xml:space="preserve">The above issue of </w:t>
      </w:r>
      <w:r w:rsidR="00B835BD">
        <w:rPr>
          <w:lang w:eastAsia="zh-CN"/>
        </w:rPr>
        <w:t xml:space="preserve">known vs unknown cell </w:t>
      </w:r>
      <w:r w:rsidR="00301236">
        <w:rPr>
          <w:lang w:eastAsia="zh-CN"/>
        </w:rPr>
        <w:t>also holds</w:t>
      </w:r>
      <w:r w:rsidR="00B835BD">
        <w:rPr>
          <w:lang w:eastAsia="zh-CN"/>
        </w:rPr>
        <w:t xml:space="preserve"> for RRC re-establishment procedures.</w:t>
      </w:r>
      <w:r w:rsidR="00726F99">
        <w:rPr>
          <w:lang w:eastAsia="zh-CN"/>
        </w:rPr>
        <w:t xml:space="preserve"> </w:t>
      </w:r>
      <w:r w:rsidR="00726F99" w:rsidRPr="00726F99">
        <w:rPr>
          <w:lang w:eastAsia="zh-CN"/>
        </w:rPr>
        <w:t>Time to identify target NR cell for RRC connection re-establishment to another NR Cell depends on whether the neighbour NR cells are intra-frequency or inter-frequency</w:t>
      </w:r>
      <w:r w:rsidR="00726F99">
        <w:rPr>
          <w:lang w:eastAsia="zh-CN"/>
        </w:rPr>
        <w:t xml:space="preserve">. </w:t>
      </w:r>
      <w:r w:rsidR="00726F99" w:rsidRPr="00726F99">
        <w:rPr>
          <w:lang w:eastAsia="zh-CN"/>
        </w:rPr>
        <w:t xml:space="preserve">With multiple SSBs (CD-SSB and NCD-SSBs) in the serving cell and the </w:t>
      </w:r>
      <w:r w:rsidR="009F7394">
        <w:rPr>
          <w:lang w:eastAsia="zh-CN"/>
        </w:rPr>
        <w:t>neighbor</w:t>
      </w:r>
      <w:r w:rsidR="00726F99" w:rsidRPr="00726F99">
        <w:rPr>
          <w:lang w:eastAsia="zh-CN"/>
        </w:rPr>
        <w:t xml:space="preserve"> cell, the definition of intra-frequency and inter-frequency cell is not clear</w:t>
      </w:r>
      <w:r w:rsidR="00DD1D9A">
        <w:rPr>
          <w:lang w:eastAsia="zh-CN"/>
        </w:rPr>
        <w:t xml:space="preserve">. </w:t>
      </w:r>
    </w:p>
    <w:p w14:paraId="059A4137" w14:textId="50EFEFB9" w:rsidR="009F7394" w:rsidRPr="009F7394" w:rsidRDefault="00AB3EB4" w:rsidP="009F7394">
      <w:pPr>
        <w:rPr>
          <w:lang w:eastAsia="zh-CN"/>
        </w:rPr>
      </w:pPr>
      <w:r>
        <w:rPr>
          <w:lang w:eastAsia="zh-CN"/>
        </w:rPr>
        <w:t xml:space="preserve">In short, </w:t>
      </w:r>
      <w:r w:rsidR="00ED17CE">
        <w:rPr>
          <w:lang w:eastAsia="zh-CN"/>
        </w:rPr>
        <w:t>s</w:t>
      </w:r>
      <w:r w:rsidR="009F7394" w:rsidRPr="009F7394">
        <w:rPr>
          <w:lang w:eastAsia="zh-CN"/>
        </w:rPr>
        <w:t>pec doesn’t specify which SSB of the target cell to be used to classify handover type as intra-frequency or inter-frequency.</w:t>
      </w:r>
    </w:p>
    <w:p w14:paraId="09C48A1D" w14:textId="43654C99" w:rsidR="009F7394" w:rsidRPr="00AB3EB4" w:rsidRDefault="009F7394" w:rsidP="00ED17CE">
      <w:pPr>
        <w:pStyle w:val="ListParagraph"/>
        <w:numPr>
          <w:ilvl w:val="0"/>
          <w:numId w:val="38"/>
        </w:numPr>
        <w:rPr>
          <w:sz w:val="20"/>
          <w:szCs w:val="20"/>
          <w:lang w:eastAsia="zh-CN"/>
        </w:rPr>
      </w:pPr>
      <w:r w:rsidRPr="00AB3EB4">
        <w:rPr>
          <w:sz w:val="20"/>
          <w:szCs w:val="20"/>
          <w:lang w:eastAsia="zh-CN"/>
        </w:rPr>
        <w:t>CD-SSB or</w:t>
      </w:r>
    </w:p>
    <w:p w14:paraId="53F337AD" w14:textId="32E70D9B" w:rsidR="009F7394" w:rsidRPr="00AB3EB4" w:rsidRDefault="009F7394" w:rsidP="00ED17CE">
      <w:pPr>
        <w:pStyle w:val="ListParagraph"/>
        <w:numPr>
          <w:ilvl w:val="0"/>
          <w:numId w:val="38"/>
        </w:numPr>
        <w:rPr>
          <w:sz w:val="20"/>
          <w:szCs w:val="20"/>
          <w:lang w:eastAsia="zh-CN"/>
        </w:rPr>
      </w:pPr>
      <w:r w:rsidRPr="00AB3EB4">
        <w:rPr>
          <w:sz w:val="20"/>
          <w:szCs w:val="20"/>
          <w:lang w:eastAsia="zh-CN"/>
        </w:rPr>
        <w:t>One of the NCD-SSBs, if configured</w:t>
      </w:r>
    </w:p>
    <w:p w14:paraId="34ABCA14" w14:textId="4EF729D2" w:rsidR="009F7394" w:rsidRPr="00AB3EB4" w:rsidRDefault="009F7394" w:rsidP="00ED17CE">
      <w:pPr>
        <w:pStyle w:val="ListParagraph"/>
        <w:numPr>
          <w:ilvl w:val="0"/>
          <w:numId w:val="38"/>
        </w:numPr>
        <w:rPr>
          <w:sz w:val="20"/>
          <w:szCs w:val="20"/>
          <w:lang w:eastAsia="zh-CN"/>
        </w:rPr>
      </w:pPr>
      <w:r w:rsidRPr="00AB3EB4">
        <w:rPr>
          <w:sz w:val="20"/>
          <w:szCs w:val="20"/>
          <w:lang w:eastAsia="zh-CN"/>
        </w:rPr>
        <w:t xml:space="preserve">SSB configured as the MO of the </w:t>
      </w:r>
      <w:r w:rsidR="00D75664">
        <w:rPr>
          <w:sz w:val="20"/>
          <w:szCs w:val="20"/>
          <w:lang w:eastAsia="zh-CN"/>
        </w:rPr>
        <w:t>neighbor</w:t>
      </w:r>
      <w:r w:rsidRPr="00AB3EB4">
        <w:rPr>
          <w:sz w:val="20"/>
          <w:szCs w:val="20"/>
          <w:lang w:eastAsia="zh-CN"/>
        </w:rPr>
        <w:t xml:space="preserve"> cell</w:t>
      </w:r>
    </w:p>
    <w:p w14:paraId="3D744020" w14:textId="74C63E72" w:rsidR="009F7394" w:rsidRPr="00AB3EB4" w:rsidRDefault="009F7394" w:rsidP="00ED17CE">
      <w:pPr>
        <w:pStyle w:val="ListParagraph"/>
        <w:numPr>
          <w:ilvl w:val="1"/>
          <w:numId w:val="38"/>
        </w:numPr>
        <w:rPr>
          <w:sz w:val="20"/>
          <w:szCs w:val="20"/>
          <w:lang w:eastAsia="zh-CN"/>
        </w:rPr>
      </w:pPr>
      <w:r w:rsidRPr="00AB3EB4">
        <w:rPr>
          <w:sz w:val="20"/>
          <w:szCs w:val="20"/>
          <w:lang w:eastAsia="zh-CN"/>
        </w:rPr>
        <w:t>This can be CD-SSB or NCD-SSB</w:t>
      </w:r>
    </w:p>
    <w:p w14:paraId="1328B736" w14:textId="77777777" w:rsidR="00ED17CE" w:rsidRDefault="00ED17CE" w:rsidP="009F7394">
      <w:pPr>
        <w:rPr>
          <w:lang w:eastAsia="zh-CN"/>
        </w:rPr>
      </w:pPr>
    </w:p>
    <w:p w14:paraId="2FCCE3D1" w14:textId="05DD3AE3" w:rsidR="009F7394" w:rsidRPr="009F7394" w:rsidRDefault="009F7394" w:rsidP="009F7394">
      <w:pPr>
        <w:rPr>
          <w:lang w:eastAsia="zh-CN"/>
        </w:rPr>
      </w:pPr>
      <w:r w:rsidRPr="009F7394">
        <w:rPr>
          <w:lang w:eastAsia="zh-CN"/>
        </w:rPr>
        <w:t>Spec doesn’t specify which SSB of the serving cell to be used to classify handover type as intra-frequency or inter-frequency</w:t>
      </w:r>
    </w:p>
    <w:p w14:paraId="624C9ABF" w14:textId="06A5CB6E" w:rsidR="009F7394" w:rsidRPr="007E50F4" w:rsidRDefault="009F7394" w:rsidP="00AB3EB4">
      <w:pPr>
        <w:pStyle w:val="ListParagraph"/>
        <w:numPr>
          <w:ilvl w:val="0"/>
          <w:numId w:val="38"/>
        </w:numPr>
        <w:rPr>
          <w:sz w:val="20"/>
          <w:szCs w:val="20"/>
          <w:lang w:eastAsia="zh-CN"/>
        </w:rPr>
      </w:pPr>
      <w:r w:rsidRPr="007E50F4">
        <w:rPr>
          <w:sz w:val="20"/>
          <w:szCs w:val="20"/>
          <w:lang w:eastAsia="zh-CN"/>
        </w:rPr>
        <w:t>SSB within the active BWP</w:t>
      </w:r>
    </w:p>
    <w:p w14:paraId="47F7EC74" w14:textId="25A6F849" w:rsidR="009F7394" w:rsidRPr="007E50F4" w:rsidRDefault="009F7394" w:rsidP="00AB3EB4">
      <w:pPr>
        <w:pStyle w:val="ListParagraph"/>
        <w:numPr>
          <w:ilvl w:val="0"/>
          <w:numId w:val="38"/>
        </w:numPr>
        <w:rPr>
          <w:sz w:val="20"/>
          <w:szCs w:val="20"/>
          <w:lang w:eastAsia="zh-CN"/>
        </w:rPr>
      </w:pPr>
      <w:r w:rsidRPr="007E50F4">
        <w:rPr>
          <w:sz w:val="20"/>
          <w:szCs w:val="20"/>
          <w:lang w:eastAsia="zh-CN"/>
        </w:rPr>
        <w:t xml:space="preserve">SSB defined in the </w:t>
      </w:r>
      <w:r w:rsidRPr="00543973">
        <w:rPr>
          <w:i/>
          <w:iCs/>
          <w:sz w:val="20"/>
          <w:szCs w:val="20"/>
          <w:lang w:eastAsia="zh-CN"/>
        </w:rPr>
        <w:t>servingCellMO</w:t>
      </w:r>
      <w:r w:rsidRPr="007E50F4">
        <w:rPr>
          <w:sz w:val="20"/>
          <w:szCs w:val="20"/>
          <w:lang w:eastAsia="zh-CN"/>
        </w:rPr>
        <w:t xml:space="preserve"> or </w:t>
      </w:r>
      <w:r w:rsidRPr="00543973">
        <w:rPr>
          <w:i/>
          <w:iCs/>
          <w:sz w:val="20"/>
          <w:szCs w:val="20"/>
          <w:lang w:eastAsia="zh-CN"/>
        </w:rPr>
        <w:t>BWP-specific</w:t>
      </w:r>
      <w:r w:rsidRPr="007E50F4">
        <w:rPr>
          <w:sz w:val="20"/>
          <w:szCs w:val="20"/>
          <w:lang w:eastAsia="zh-CN"/>
        </w:rPr>
        <w:t xml:space="preserve"> </w:t>
      </w:r>
      <w:r w:rsidRPr="00543973">
        <w:rPr>
          <w:i/>
          <w:iCs/>
          <w:sz w:val="20"/>
          <w:szCs w:val="20"/>
          <w:lang w:eastAsia="zh-CN"/>
        </w:rPr>
        <w:t>servingCellMO</w:t>
      </w:r>
      <w:r w:rsidRPr="007E50F4">
        <w:rPr>
          <w:sz w:val="20"/>
          <w:szCs w:val="20"/>
          <w:lang w:eastAsia="zh-CN"/>
        </w:rPr>
        <w:t>, if defined</w:t>
      </w:r>
    </w:p>
    <w:p w14:paraId="118FDB18" w14:textId="0D4EFE5A" w:rsidR="00AB3EB4" w:rsidRPr="007E50F4" w:rsidRDefault="00AB3EB4" w:rsidP="00AB3EB4">
      <w:pPr>
        <w:pStyle w:val="ListParagraph"/>
        <w:numPr>
          <w:ilvl w:val="0"/>
          <w:numId w:val="38"/>
        </w:numPr>
        <w:rPr>
          <w:sz w:val="20"/>
          <w:szCs w:val="20"/>
          <w:lang w:eastAsia="zh-CN"/>
        </w:rPr>
      </w:pPr>
      <w:r w:rsidRPr="007E50F4">
        <w:rPr>
          <w:sz w:val="20"/>
          <w:szCs w:val="20"/>
          <w:lang w:eastAsia="zh-CN"/>
        </w:rPr>
        <w:t>CD-SSB</w:t>
      </w:r>
      <w:r w:rsidR="007E50F4" w:rsidRPr="007E50F4">
        <w:rPr>
          <w:sz w:val="20"/>
          <w:szCs w:val="20"/>
          <w:lang w:eastAsia="zh-CN"/>
        </w:rPr>
        <w:t xml:space="preserve"> of the serving cell</w:t>
      </w:r>
    </w:p>
    <w:p w14:paraId="2A807B31" w14:textId="4BF306C8" w:rsidR="007E50F4" w:rsidRDefault="007E50F4" w:rsidP="007E50F4">
      <w:pPr>
        <w:rPr>
          <w:lang w:eastAsia="zh-CN"/>
        </w:rPr>
      </w:pPr>
    </w:p>
    <w:p w14:paraId="71539267" w14:textId="0FD70C1A" w:rsidR="00F67424" w:rsidRDefault="00154402" w:rsidP="00726F99">
      <w:pPr>
        <w:rPr>
          <w:lang w:eastAsia="zh-CN"/>
        </w:rPr>
      </w:pPr>
      <w:r>
        <w:rPr>
          <w:lang w:eastAsia="zh-CN"/>
        </w:rPr>
        <w:t xml:space="preserve">Since RRC re-establishment procedures are </w:t>
      </w:r>
      <w:proofErr w:type="gramStart"/>
      <w:r>
        <w:rPr>
          <w:lang w:eastAsia="zh-CN"/>
        </w:rPr>
        <w:t>similar to</w:t>
      </w:r>
      <w:proofErr w:type="gramEnd"/>
      <w:r>
        <w:rPr>
          <w:lang w:eastAsia="zh-CN"/>
        </w:rPr>
        <w:t xml:space="preserve"> </w:t>
      </w:r>
      <w:r w:rsidR="004B2492">
        <w:rPr>
          <w:lang w:eastAsia="zh-CN"/>
        </w:rPr>
        <w:t>i</w:t>
      </w:r>
      <w:r>
        <w:rPr>
          <w:lang w:eastAsia="zh-CN"/>
        </w:rPr>
        <w:t>dle mode procedures, it makes s</w:t>
      </w:r>
      <w:r w:rsidR="00DA2D00">
        <w:rPr>
          <w:lang w:eastAsia="zh-CN"/>
        </w:rPr>
        <w:t>ense to use CD-SSB of the neighbour cell as the reference SSB but what to use for the serving cell</w:t>
      </w:r>
      <w:r w:rsidR="004B2492">
        <w:rPr>
          <w:lang w:eastAsia="zh-CN"/>
        </w:rPr>
        <w:t xml:space="preserve"> </w:t>
      </w:r>
      <w:r w:rsidR="00D16591">
        <w:rPr>
          <w:lang w:eastAsia="zh-CN"/>
        </w:rPr>
        <w:t>–</w:t>
      </w:r>
      <w:r w:rsidR="004B2492">
        <w:rPr>
          <w:lang w:eastAsia="zh-CN"/>
        </w:rPr>
        <w:t xml:space="preserve"> </w:t>
      </w:r>
    </w:p>
    <w:p w14:paraId="5F5F4F33" w14:textId="77777777" w:rsidR="00D16591" w:rsidRDefault="00D16591" w:rsidP="00D16591">
      <w:pPr>
        <w:ind w:left="284"/>
        <w:rPr>
          <w:lang w:eastAsia="zh-CN"/>
        </w:rPr>
      </w:pPr>
      <w:r>
        <w:rPr>
          <w:lang w:eastAsia="zh-CN"/>
        </w:rPr>
        <w:t>Option S1 -</w:t>
      </w:r>
      <w:r>
        <w:rPr>
          <w:lang w:eastAsia="zh-CN"/>
        </w:rPr>
        <w:tab/>
        <w:t xml:space="preserve">BWP specific servingCellMO (if configured), else servingCellMO </w:t>
      </w:r>
    </w:p>
    <w:p w14:paraId="666E43A6" w14:textId="77777777" w:rsidR="00D16591" w:rsidRDefault="00D16591" w:rsidP="00D16591">
      <w:pPr>
        <w:ind w:left="284"/>
        <w:rPr>
          <w:lang w:eastAsia="zh-CN"/>
        </w:rPr>
      </w:pPr>
      <w:r>
        <w:rPr>
          <w:lang w:eastAsia="zh-CN"/>
        </w:rPr>
        <w:t>Option S2 -</w:t>
      </w:r>
      <w:r>
        <w:rPr>
          <w:lang w:eastAsia="zh-CN"/>
        </w:rPr>
        <w:tab/>
        <w:t>SSB within the active BWP</w:t>
      </w:r>
    </w:p>
    <w:p w14:paraId="2F261544" w14:textId="77777777" w:rsidR="00D16591" w:rsidRDefault="00D16591" w:rsidP="00D16591">
      <w:pPr>
        <w:ind w:left="284"/>
        <w:rPr>
          <w:lang w:eastAsia="zh-CN"/>
        </w:rPr>
      </w:pPr>
      <w:r>
        <w:rPr>
          <w:lang w:eastAsia="zh-CN"/>
        </w:rPr>
        <w:t>Option S3 -</w:t>
      </w:r>
      <w:r>
        <w:rPr>
          <w:lang w:eastAsia="zh-CN"/>
        </w:rPr>
        <w:tab/>
        <w:t>CD-SSB</w:t>
      </w:r>
    </w:p>
    <w:p w14:paraId="2A1C13EA" w14:textId="5A7E9F6F" w:rsidR="00D16591" w:rsidRDefault="00D16591" w:rsidP="00D16591">
      <w:pPr>
        <w:rPr>
          <w:b/>
          <w:bCs/>
          <w:lang w:eastAsia="zh-CN"/>
        </w:rPr>
      </w:pPr>
      <w:r>
        <w:rPr>
          <w:b/>
          <w:bCs/>
          <w:lang w:eastAsia="zh-CN"/>
        </w:rPr>
        <w:t>Observation 4: The definition of intra-frequency and inter-frequency cell</w:t>
      </w:r>
      <w:r w:rsidR="00724053">
        <w:rPr>
          <w:b/>
          <w:bCs/>
          <w:lang w:eastAsia="zh-CN"/>
        </w:rPr>
        <w:t xml:space="preserve"> for RRC re-establishment preocedure</w:t>
      </w:r>
      <w:r>
        <w:rPr>
          <w:b/>
          <w:bCs/>
          <w:lang w:eastAsia="zh-CN"/>
        </w:rPr>
        <w:t xml:space="preserve"> for RedCap UEs is not clear in the spec (TS 38.133)</w:t>
      </w:r>
      <w:r w:rsidR="00B77D64">
        <w:rPr>
          <w:b/>
          <w:bCs/>
          <w:lang w:eastAsia="zh-CN"/>
        </w:rPr>
        <w:t>.</w:t>
      </w:r>
    </w:p>
    <w:p w14:paraId="46B7521F" w14:textId="7FECCB6B" w:rsidR="00B77D64" w:rsidRDefault="00B77D64" w:rsidP="00D16591">
      <w:pPr>
        <w:rPr>
          <w:b/>
          <w:bCs/>
          <w:lang w:eastAsia="zh-CN"/>
        </w:rPr>
      </w:pPr>
      <w:r>
        <w:rPr>
          <w:b/>
          <w:bCs/>
          <w:lang w:eastAsia="zh-CN"/>
        </w:rPr>
        <w:t>Proposal 4: RAN4 to clarify the definition of intra-frequency and inter-frequency cell for RRC</w:t>
      </w:r>
      <w:r w:rsidR="009606DC">
        <w:rPr>
          <w:b/>
          <w:bCs/>
          <w:lang w:eastAsia="zh-CN"/>
        </w:rPr>
        <w:t xml:space="preserve"> re-establishment procedure for RedCap UEs</w:t>
      </w:r>
      <w:r>
        <w:rPr>
          <w:b/>
          <w:bCs/>
          <w:lang w:eastAsia="zh-CN"/>
        </w:rPr>
        <w:t xml:space="preserve"> in the spec.</w:t>
      </w:r>
    </w:p>
    <w:p w14:paraId="3A0FE3D6" w14:textId="0311A519" w:rsidR="00C932E8" w:rsidRDefault="00C932E8" w:rsidP="00C932E8">
      <w:pPr>
        <w:rPr>
          <w:b/>
          <w:bCs/>
          <w:lang w:eastAsia="zh-CN"/>
        </w:rPr>
      </w:pPr>
      <w:r>
        <w:rPr>
          <w:b/>
          <w:bCs/>
          <w:lang w:eastAsia="zh-CN"/>
        </w:rPr>
        <w:t xml:space="preserve">Proposal 5: </w:t>
      </w:r>
      <w:r w:rsidR="000E347E" w:rsidRPr="000E347E">
        <w:rPr>
          <w:b/>
          <w:bCs/>
          <w:lang w:eastAsia="zh-CN"/>
        </w:rPr>
        <w:t xml:space="preserve">A neighbor cell for RRC re-establishment procedures for a RedCap UE is defined as an intra-frequency cell if the center frequency (and subcarrier spacing (SCS)) of the </w:t>
      </w:r>
      <w:r w:rsidR="000E347E" w:rsidRPr="000E347E">
        <w:rPr>
          <w:b/>
          <w:bCs/>
          <w:u w:val="single"/>
          <w:lang w:eastAsia="zh-CN"/>
        </w:rPr>
        <w:t xml:space="preserve">reference SSB of the serving cell </w:t>
      </w:r>
      <w:r w:rsidR="000E347E" w:rsidRPr="000E347E">
        <w:rPr>
          <w:b/>
          <w:bCs/>
          <w:lang w:eastAsia="zh-CN"/>
        </w:rPr>
        <w:t xml:space="preserve">is same as the center frequency (and SCS) of the </w:t>
      </w:r>
      <w:r w:rsidR="000E347E" w:rsidRPr="000E347E">
        <w:rPr>
          <w:b/>
          <w:bCs/>
          <w:u w:val="single"/>
          <w:lang w:eastAsia="zh-CN"/>
        </w:rPr>
        <w:t>reference SSB of the neighbor cell</w:t>
      </w:r>
      <w:r w:rsidR="000E347E" w:rsidRPr="000E347E">
        <w:rPr>
          <w:b/>
          <w:bCs/>
          <w:lang w:eastAsia="zh-CN"/>
        </w:rPr>
        <w:t>; else it is considered as inter-frequency cell</w:t>
      </w:r>
      <w:r w:rsidR="000E347E">
        <w:rPr>
          <w:b/>
          <w:bCs/>
          <w:lang w:eastAsia="zh-CN"/>
        </w:rPr>
        <w:t>,</w:t>
      </w:r>
      <w:r w:rsidRPr="00702DB3">
        <w:rPr>
          <w:b/>
          <w:bCs/>
          <w:lang w:eastAsia="zh-CN"/>
        </w:rPr>
        <w:t xml:space="preserve"> where</w:t>
      </w:r>
      <w:r>
        <w:rPr>
          <w:b/>
          <w:bCs/>
          <w:lang w:eastAsia="zh-CN"/>
        </w:rPr>
        <w:t>:</w:t>
      </w:r>
    </w:p>
    <w:p w14:paraId="595AB44A" w14:textId="506421D8" w:rsidR="00D876AC" w:rsidRPr="00D876AC" w:rsidRDefault="00D876AC" w:rsidP="00C932E8">
      <w:pPr>
        <w:pStyle w:val="ListParagraph"/>
        <w:numPr>
          <w:ilvl w:val="0"/>
          <w:numId w:val="34"/>
        </w:numPr>
        <w:rPr>
          <w:rFonts w:eastAsia="MS Mincho"/>
          <w:b/>
          <w:bCs/>
          <w:sz w:val="20"/>
          <w:szCs w:val="20"/>
          <w:lang w:eastAsia="zh-CN"/>
        </w:rPr>
      </w:pPr>
      <w:r w:rsidRPr="00C932E8">
        <w:rPr>
          <w:rFonts w:eastAsia="MS Mincho"/>
          <w:b/>
          <w:bCs/>
          <w:sz w:val="20"/>
          <w:szCs w:val="20"/>
          <w:lang w:eastAsia="zh-CN"/>
        </w:rPr>
        <w:t xml:space="preserve">The reference SSB of the target cell is the </w:t>
      </w:r>
      <w:r>
        <w:rPr>
          <w:rFonts w:eastAsia="MS Mincho"/>
          <w:b/>
          <w:bCs/>
          <w:sz w:val="20"/>
          <w:szCs w:val="20"/>
          <w:lang w:eastAsia="zh-CN"/>
        </w:rPr>
        <w:t>CD-</w:t>
      </w:r>
      <w:r w:rsidRPr="00C932E8">
        <w:rPr>
          <w:rFonts w:eastAsia="MS Mincho"/>
          <w:b/>
          <w:bCs/>
          <w:sz w:val="20"/>
          <w:szCs w:val="20"/>
          <w:lang w:eastAsia="zh-CN"/>
        </w:rPr>
        <w:t>SSB of the target cell</w:t>
      </w:r>
    </w:p>
    <w:p w14:paraId="5AE7E856" w14:textId="290EDCAF" w:rsidR="00D876AC" w:rsidRPr="00D876AC" w:rsidRDefault="00C932E8" w:rsidP="00C932E8">
      <w:pPr>
        <w:pStyle w:val="ListParagraph"/>
        <w:numPr>
          <w:ilvl w:val="0"/>
          <w:numId w:val="34"/>
        </w:numPr>
        <w:rPr>
          <w:rFonts w:eastAsia="MS Mincho"/>
          <w:b/>
          <w:bCs/>
          <w:sz w:val="20"/>
          <w:szCs w:val="20"/>
          <w:lang w:eastAsia="zh-CN"/>
        </w:rPr>
      </w:pPr>
      <w:r w:rsidRPr="00252F8B">
        <w:rPr>
          <w:rFonts w:eastAsia="MS Mincho"/>
          <w:b/>
          <w:bCs/>
          <w:sz w:val="20"/>
          <w:szCs w:val="20"/>
          <w:lang w:val="en-GB" w:eastAsia="zh-CN"/>
        </w:rPr>
        <w:t>The reference SSB of the serving cell is</w:t>
      </w:r>
    </w:p>
    <w:p w14:paraId="13593CC6" w14:textId="3C780949" w:rsidR="00C932E8" w:rsidRPr="000D7223" w:rsidRDefault="00D876AC" w:rsidP="00D876AC">
      <w:pPr>
        <w:pStyle w:val="ListParagraph"/>
        <w:numPr>
          <w:ilvl w:val="1"/>
          <w:numId w:val="34"/>
        </w:numPr>
        <w:rPr>
          <w:rFonts w:eastAsia="MS Mincho"/>
          <w:b/>
          <w:bCs/>
          <w:sz w:val="20"/>
          <w:szCs w:val="20"/>
          <w:lang w:eastAsia="zh-CN"/>
        </w:rPr>
      </w:pPr>
      <w:r>
        <w:rPr>
          <w:rFonts w:eastAsia="MS Mincho"/>
          <w:b/>
          <w:bCs/>
          <w:sz w:val="20"/>
          <w:szCs w:val="20"/>
          <w:lang w:val="en-GB" w:eastAsia="zh-CN"/>
        </w:rPr>
        <w:t xml:space="preserve">Option </w:t>
      </w:r>
      <w:r w:rsidR="000D7223">
        <w:rPr>
          <w:rFonts w:eastAsia="MS Mincho"/>
          <w:b/>
          <w:bCs/>
          <w:sz w:val="20"/>
          <w:szCs w:val="20"/>
          <w:lang w:val="en-GB" w:eastAsia="zh-CN"/>
        </w:rPr>
        <w:t xml:space="preserve">1: </w:t>
      </w:r>
      <w:r w:rsidR="00C932E8" w:rsidRPr="00252F8B">
        <w:rPr>
          <w:rFonts w:eastAsia="MS Mincho"/>
          <w:b/>
          <w:bCs/>
          <w:sz w:val="20"/>
          <w:szCs w:val="20"/>
          <w:lang w:eastAsia="zh-CN"/>
        </w:rPr>
        <w:t xml:space="preserve">SSB configured in the </w:t>
      </w:r>
      <w:r w:rsidR="00C932E8" w:rsidRPr="00252F8B">
        <w:rPr>
          <w:rFonts w:eastAsia="MS Mincho"/>
          <w:b/>
          <w:bCs/>
          <w:i/>
          <w:iCs/>
          <w:sz w:val="20"/>
          <w:szCs w:val="20"/>
          <w:lang w:eastAsia="zh-CN"/>
        </w:rPr>
        <w:t>BWP-specific</w:t>
      </w:r>
      <w:r w:rsidR="00C932E8" w:rsidRPr="00252F8B">
        <w:rPr>
          <w:rFonts w:eastAsia="MS Mincho"/>
          <w:b/>
          <w:bCs/>
          <w:sz w:val="20"/>
          <w:szCs w:val="20"/>
          <w:lang w:eastAsia="zh-CN"/>
        </w:rPr>
        <w:t xml:space="preserve"> </w:t>
      </w:r>
      <w:r w:rsidR="00C932E8" w:rsidRPr="00252F8B">
        <w:rPr>
          <w:rFonts w:eastAsia="MS Mincho"/>
          <w:b/>
          <w:bCs/>
          <w:i/>
          <w:iCs/>
          <w:sz w:val="20"/>
          <w:szCs w:val="20"/>
          <w:lang w:eastAsia="zh-CN"/>
        </w:rPr>
        <w:t>servingCellMO</w:t>
      </w:r>
      <w:r w:rsidR="00C932E8" w:rsidRPr="00252F8B">
        <w:rPr>
          <w:rFonts w:eastAsia="MS Mincho"/>
          <w:b/>
          <w:bCs/>
          <w:sz w:val="20"/>
          <w:szCs w:val="20"/>
          <w:lang w:eastAsia="zh-CN"/>
        </w:rPr>
        <w:t>, if configured</w:t>
      </w:r>
      <w:r w:rsidR="00C932E8">
        <w:rPr>
          <w:rFonts w:eastAsia="MS Mincho"/>
          <w:b/>
          <w:bCs/>
          <w:sz w:val="20"/>
          <w:szCs w:val="20"/>
          <w:lang w:eastAsia="zh-CN"/>
        </w:rPr>
        <w:t xml:space="preserve">, else the SSB configured in the </w:t>
      </w:r>
      <w:r w:rsidR="00C932E8" w:rsidRPr="00252F8B">
        <w:rPr>
          <w:rFonts w:eastAsia="MS Mincho"/>
          <w:b/>
          <w:bCs/>
          <w:i/>
          <w:iCs/>
          <w:sz w:val="20"/>
          <w:szCs w:val="20"/>
          <w:lang w:eastAsia="zh-CN"/>
        </w:rPr>
        <w:t>servingCellMO</w:t>
      </w:r>
    </w:p>
    <w:p w14:paraId="64091487" w14:textId="6C67E378" w:rsidR="000D7223" w:rsidRPr="000D7223" w:rsidRDefault="000D7223" w:rsidP="00D876AC">
      <w:pPr>
        <w:pStyle w:val="ListParagraph"/>
        <w:numPr>
          <w:ilvl w:val="1"/>
          <w:numId w:val="34"/>
        </w:numPr>
        <w:rPr>
          <w:rFonts w:eastAsia="MS Mincho"/>
          <w:b/>
          <w:bCs/>
          <w:sz w:val="20"/>
          <w:szCs w:val="20"/>
          <w:lang w:eastAsia="zh-CN"/>
        </w:rPr>
      </w:pPr>
      <w:r>
        <w:rPr>
          <w:rFonts w:eastAsia="MS Mincho"/>
          <w:b/>
          <w:bCs/>
          <w:sz w:val="20"/>
          <w:szCs w:val="20"/>
          <w:lang w:val="en-GB" w:eastAsia="zh-CN"/>
        </w:rPr>
        <w:t>Option 2: CD-SSB of the serving cell</w:t>
      </w:r>
    </w:p>
    <w:p w14:paraId="688E629C" w14:textId="1336EAA3" w:rsidR="000D7223" w:rsidRPr="00C932E8" w:rsidRDefault="000D7223" w:rsidP="00D876AC">
      <w:pPr>
        <w:pStyle w:val="ListParagraph"/>
        <w:numPr>
          <w:ilvl w:val="1"/>
          <w:numId w:val="34"/>
        </w:numPr>
        <w:rPr>
          <w:rFonts w:eastAsia="MS Mincho"/>
          <w:b/>
          <w:bCs/>
          <w:sz w:val="20"/>
          <w:szCs w:val="20"/>
          <w:lang w:eastAsia="zh-CN"/>
        </w:rPr>
      </w:pPr>
      <w:r>
        <w:rPr>
          <w:rFonts w:eastAsia="MS Mincho"/>
          <w:b/>
          <w:bCs/>
          <w:sz w:val="20"/>
          <w:szCs w:val="20"/>
          <w:lang w:val="en-GB" w:eastAsia="zh-CN"/>
        </w:rPr>
        <w:t>Option 3: SSB within the active BWP</w:t>
      </w:r>
    </w:p>
    <w:p w14:paraId="2BCB5392" w14:textId="77777777" w:rsidR="00D16591" w:rsidRPr="00BF56D5" w:rsidRDefault="00D16591" w:rsidP="00BF56D5">
      <w:pPr>
        <w:rPr>
          <w:b/>
          <w:bCs/>
          <w:sz w:val="16"/>
          <w:szCs w:val="16"/>
          <w:lang w:eastAsia="zh-CN"/>
        </w:rPr>
      </w:pPr>
    </w:p>
    <w:p w14:paraId="7A98C740" w14:textId="5CCA7769" w:rsidR="002A6BB3" w:rsidRDefault="00AC1830" w:rsidP="00DF7FD2">
      <w:pPr>
        <w:pStyle w:val="Heading1"/>
        <w:rPr>
          <w:lang w:eastAsia="zh-CN"/>
        </w:rPr>
      </w:pPr>
      <w:r>
        <w:rPr>
          <w:lang w:eastAsia="zh-CN"/>
        </w:rPr>
        <w:t>Conclusion</w:t>
      </w:r>
    </w:p>
    <w:p w14:paraId="06CEFCAF" w14:textId="77777777" w:rsidR="00BF56D5" w:rsidRDefault="00BF56D5" w:rsidP="00BF56D5">
      <w:pPr>
        <w:rPr>
          <w:b/>
          <w:bCs/>
          <w:lang w:eastAsia="zh-CN"/>
        </w:rPr>
      </w:pPr>
      <w:r w:rsidRPr="000901F1">
        <w:rPr>
          <w:b/>
          <w:bCs/>
          <w:lang w:eastAsia="zh-CN"/>
        </w:rPr>
        <w:t>Observation 1: For the case when the UE performs handover to a BWP with un-measured SSB, UE has no way to tell which measurement values to be used from the previously measured SSBs having the same PCI</w:t>
      </w:r>
      <w:r>
        <w:rPr>
          <w:b/>
          <w:bCs/>
          <w:lang w:eastAsia="zh-CN"/>
        </w:rPr>
        <w:t>.</w:t>
      </w:r>
    </w:p>
    <w:p w14:paraId="4DC07FB8" w14:textId="77777777" w:rsidR="00BF56D5" w:rsidRDefault="00BF56D5" w:rsidP="00BF56D5">
      <w:pPr>
        <w:rPr>
          <w:b/>
          <w:bCs/>
          <w:lang w:eastAsia="zh-CN"/>
        </w:rPr>
      </w:pPr>
      <w:r>
        <w:rPr>
          <w:b/>
          <w:bCs/>
          <w:lang w:eastAsia="zh-CN"/>
        </w:rPr>
        <w:t>Proposal 1: Revise the agreement from the previous meeting as below:</w:t>
      </w:r>
    </w:p>
    <w:p w14:paraId="6CF08DE2" w14:textId="77777777" w:rsidR="00BF56D5" w:rsidRPr="009F0F59" w:rsidRDefault="00BF56D5" w:rsidP="00BF56D5">
      <w:pPr>
        <w:pStyle w:val="ListParagraph"/>
        <w:numPr>
          <w:ilvl w:val="0"/>
          <w:numId w:val="37"/>
        </w:numPr>
        <w:rPr>
          <w:b/>
          <w:bCs/>
          <w:sz w:val="20"/>
          <w:szCs w:val="20"/>
          <w:lang w:eastAsia="zh-CN"/>
        </w:rPr>
      </w:pPr>
      <w:r w:rsidRPr="009F0F59">
        <w:rPr>
          <w:b/>
          <w:bCs/>
          <w:sz w:val="20"/>
          <w:szCs w:val="20"/>
          <w:lang w:eastAsia="zh-CN"/>
        </w:rPr>
        <w:t>For the case when the UE performs measurement on a SSB and handover to a BWP with un-measured SSB, the following apply:</w:t>
      </w:r>
    </w:p>
    <w:p w14:paraId="63800159" w14:textId="77777777" w:rsidR="00BF56D5" w:rsidRPr="009F0F59" w:rsidRDefault="00BF56D5" w:rsidP="00BF56D5">
      <w:pPr>
        <w:pStyle w:val="ListParagraph"/>
        <w:numPr>
          <w:ilvl w:val="1"/>
          <w:numId w:val="37"/>
        </w:numPr>
        <w:rPr>
          <w:b/>
          <w:bCs/>
          <w:sz w:val="20"/>
          <w:szCs w:val="20"/>
          <w:lang w:eastAsia="zh-CN"/>
        </w:rPr>
      </w:pPr>
      <w:r w:rsidRPr="009F0F59">
        <w:rPr>
          <w:b/>
          <w:bCs/>
          <w:sz w:val="20"/>
          <w:szCs w:val="20"/>
          <w:lang w:eastAsia="zh-CN"/>
        </w:rPr>
        <w:t xml:space="preserve">The requirements apply for the scenario where the measured SSB and the SSB in the target BWP for HO belong to the same target cell, </w:t>
      </w:r>
      <w:r w:rsidRPr="009F0F59">
        <w:rPr>
          <w:b/>
          <w:bCs/>
          <w:sz w:val="20"/>
          <w:szCs w:val="20"/>
          <w:u w:val="single"/>
          <w:lang w:eastAsia="zh-CN"/>
        </w:rPr>
        <w:t>i.e., they share the same physCellID (PCI)</w:t>
      </w:r>
    </w:p>
    <w:p w14:paraId="40C0A30D" w14:textId="757429F1" w:rsidR="00BF56D5" w:rsidRPr="00512303" w:rsidRDefault="00512303" w:rsidP="00512303">
      <w:pPr>
        <w:pStyle w:val="ListParagraph"/>
        <w:numPr>
          <w:ilvl w:val="1"/>
          <w:numId w:val="37"/>
        </w:numPr>
        <w:rPr>
          <w:b/>
          <w:bCs/>
          <w:sz w:val="20"/>
          <w:szCs w:val="20"/>
          <w:u w:val="single"/>
          <w:lang w:eastAsia="zh-CN"/>
        </w:rPr>
      </w:pPr>
      <w:r w:rsidRPr="003244B5">
        <w:rPr>
          <w:b/>
          <w:bCs/>
          <w:sz w:val="20"/>
          <w:szCs w:val="20"/>
          <w:u w:val="single"/>
          <w:lang w:eastAsia="zh-CN"/>
        </w:rPr>
        <w:t>UE may assume that the TX power of the SSB of the target cell’s active BWP is same as that of the measured SSBs that belong to the same PCI</w:t>
      </w:r>
    </w:p>
    <w:p w14:paraId="393BFCE5" w14:textId="77777777" w:rsidR="00BF56D5" w:rsidRPr="009F0F59" w:rsidRDefault="00BF56D5" w:rsidP="00BF56D5">
      <w:pPr>
        <w:pStyle w:val="ListParagraph"/>
        <w:numPr>
          <w:ilvl w:val="0"/>
          <w:numId w:val="37"/>
        </w:numPr>
        <w:rPr>
          <w:b/>
          <w:bCs/>
          <w:sz w:val="20"/>
          <w:szCs w:val="20"/>
          <w:lang w:eastAsia="zh-CN"/>
        </w:rPr>
      </w:pPr>
      <w:r w:rsidRPr="009F0F59">
        <w:rPr>
          <w:b/>
          <w:bCs/>
          <w:sz w:val="20"/>
          <w:szCs w:val="20"/>
          <w:lang w:eastAsia="zh-CN"/>
        </w:rPr>
        <w:t xml:space="preserve">Note: the above agreement is for RedCap, where the measured SSB and the target SSB for HO of the same target cell are: </w:t>
      </w:r>
    </w:p>
    <w:p w14:paraId="4D61A87E" w14:textId="77777777" w:rsidR="00BF56D5" w:rsidRPr="009F0F59" w:rsidRDefault="00BF56D5" w:rsidP="00BF56D5">
      <w:pPr>
        <w:pStyle w:val="ListParagraph"/>
        <w:numPr>
          <w:ilvl w:val="1"/>
          <w:numId w:val="37"/>
        </w:numPr>
        <w:rPr>
          <w:b/>
          <w:bCs/>
          <w:sz w:val="20"/>
          <w:szCs w:val="20"/>
          <w:lang w:eastAsia="zh-CN"/>
        </w:rPr>
      </w:pPr>
      <w:r w:rsidRPr="009F0F59">
        <w:rPr>
          <w:b/>
          <w:bCs/>
          <w:sz w:val="20"/>
          <w:szCs w:val="20"/>
          <w:lang w:eastAsia="zh-CN"/>
        </w:rPr>
        <w:t>NCD-SSB and NCD-SSB, respectively</w:t>
      </w:r>
    </w:p>
    <w:p w14:paraId="3689D8AB" w14:textId="77777777" w:rsidR="00BF56D5" w:rsidRPr="009F0F59" w:rsidRDefault="00BF56D5" w:rsidP="00BF56D5">
      <w:pPr>
        <w:pStyle w:val="ListParagraph"/>
        <w:numPr>
          <w:ilvl w:val="1"/>
          <w:numId w:val="37"/>
        </w:numPr>
        <w:rPr>
          <w:b/>
          <w:bCs/>
          <w:sz w:val="20"/>
          <w:szCs w:val="20"/>
          <w:lang w:eastAsia="zh-CN"/>
        </w:rPr>
      </w:pPr>
      <w:r w:rsidRPr="009F0F59">
        <w:rPr>
          <w:b/>
          <w:bCs/>
          <w:sz w:val="20"/>
          <w:szCs w:val="20"/>
          <w:lang w:eastAsia="zh-CN"/>
        </w:rPr>
        <w:t>CD-SSB and NCD-SSB, respectively</w:t>
      </w:r>
    </w:p>
    <w:p w14:paraId="6149EB5D" w14:textId="77777777" w:rsidR="00BF56D5" w:rsidRDefault="00BF56D5" w:rsidP="00BF56D5">
      <w:pPr>
        <w:pStyle w:val="ListParagraph"/>
        <w:numPr>
          <w:ilvl w:val="1"/>
          <w:numId w:val="37"/>
        </w:numPr>
        <w:rPr>
          <w:b/>
          <w:bCs/>
          <w:sz w:val="20"/>
          <w:szCs w:val="20"/>
          <w:lang w:eastAsia="zh-CN"/>
        </w:rPr>
      </w:pPr>
      <w:r w:rsidRPr="009F0F59">
        <w:rPr>
          <w:b/>
          <w:bCs/>
          <w:sz w:val="20"/>
          <w:szCs w:val="20"/>
          <w:lang w:eastAsia="zh-CN"/>
        </w:rPr>
        <w:t>NCD-SSB and CD-SSB, respectively</w:t>
      </w:r>
    </w:p>
    <w:p w14:paraId="6BD7476B" w14:textId="55DE9EDF" w:rsidR="00BF56D5" w:rsidRDefault="00BF56D5" w:rsidP="00BF56D5">
      <w:pPr>
        <w:pStyle w:val="ListParagraph"/>
        <w:numPr>
          <w:ilvl w:val="0"/>
          <w:numId w:val="37"/>
        </w:numPr>
        <w:rPr>
          <w:b/>
          <w:bCs/>
          <w:sz w:val="20"/>
          <w:szCs w:val="20"/>
          <w:lang w:eastAsia="zh-CN"/>
        </w:rPr>
      </w:pPr>
      <w:r w:rsidRPr="00225E7C">
        <w:rPr>
          <w:b/>
          <w:bCs/>
          <w:sz w:val="20"/>
          <w:szCs w:val="20"/>
          <w:lang w:eastAsia="zh-CN"/>
        </w:rPr>
        <w:t>One additional sample is needed for known inter-frequency handover.</w:t>
      </w:r>
    </w:p>
    <w:p w14:paraId="5881A8E7" w14:textId="45ACD1BC" w:rsidR="00BF56D5" w:rsidRDefault="00BF56D5" w:rsidP="00BF56D5">
      <w:pPr>
        <w:rPr>
          <w:b/>
          <w:bCs/>
          <w:lang w:eastAsia="zh-CN"/>
        </w:rPr>
      </w:pPr>
    </w:p>
    <w:p w14:paraId="745A176A" w14:textId="77777777" w:rsidR="00BF56D5" w:rsidRDefault="00BF56D5" w:rsidP="00BF56D5">
      <w:pPr>
        <w:rPr>
          <w:b/>
          <w:bCs/>
          <w:lang w:eastAsia="zh-CN"/>
        </w:rPr>
      </w:pPr>
      <w:r>
        <w:rPr>
          <w:b/>
          <w:bCs/>
          <w:lang w:eastAsia="zh-CN"/>
        </w:rPr>
        <w:t>Observation 2: The definition of intra-frequency and inter-frequency handover for RedCap UEs is not clear in the spec (TS 38.133).</w:t>
      </w:r>
    </w:p>
    <w:p w14:paraId="3F412A61" w14:textId="77777777" w:rsidR="00BF56D5" w:rsidRDefault="00BF56D5" w:rsidP="00BF56D5">
      <w:pPr>
        <w:rPr>
          <w:b/>
          <w:bCs/>
          <w:lang w:eastAsia="zh-CN"/>
        </w:rPr>
      </w:pPr>
      <w:r>
        <w:rPr>
          <w:b/>
          <w:bCs/>
          <w:lang w:eastAsia="zh-CN"/>
        </w:rPr>
        <w:t>Observation 3: Defining intra/inter-frequency handover same as intra/inter-frequency measurement type may not apply for unknown cell handover cases.</w:t>
      </w:r>
    </w:p>
    <w:p w14:paraId="4203A23B" w14:textId="77777777" w:rsidR="00BF56D5" w:rsidRPr="006C3FBB" w:rsidRDefault="00BF56D5" w:rsidP="00BF56D5">
      <w:pPr>
        <w:pStyle w:val="ListParagraph"/>
        <w:numPr>
          <w:ilvl w:val="0"/>
          <w:numId w:val="36"/>
        </w:numPr>
        <w:rPr>
          <w:b/>
          <w:bCs/>
          <w:sz w:val="20"/>
          <w:szCs w:val="20"/>
          <w:lang w:eastAsia="zh-CN"/>
        </w:rPr>
      </w:pPr>
      <w:r w:rsidRPr="006C3FBB">
        <w:rPr>
          <w:b/>
          <w:bCs/>
          <w:sz w:val="20"/>
          <w:szCs w:val="20"/>
        </w:rPr>
        <w:t xml:space="preserve">A measurement is defined as a SSB based intra-frequency measurement provided the centre frequency of the reference SSB of the serving cell and the centre frequency of the SSB of the neighbour cell are the same, and the subcarrier spacing of the two SSBs are also the same. </w:t>
      </w:r>
      <w:r w:rsidRPr="006C3FBB">
        <w:rPr>
          <w:b/>
          <w:bCs/>
          <w:sz w:val="20"/>
          <w:szCs w:val="20"/>
          <w:u w:val="single"/>
        </w:rPr>
        <w:t>The reference SSB is the</w:t>
      </w:r>
      <w:r w:rsidRPr="006C3FBB">
        <w:rPr>
          <w:rFonts w:eastAsia="Malgun Gothic"/>
          <w:b/>
          <w:bCs/>
          <w:sz w:val="20"/>
          <w:szCs w:val="20"/>
          <w:u w:val="single"/>
          <w:lang w:eastAsia="ko-KR"/>
        </w:rPr>
        <w:t xml:space="preserve"> </w:t>
      </w:r>
      <w:r w:rsidRPr="006C3FBB">
        <w:rPr>
          <w:b/>
          <w:bCs/>
          <w:sz w:val="20"/>
          <w:szCs w:val="20"/>
          <w:u w:val="single"/>
          <w:lang w:eastAsia="ko-KR"/>
        </w:rPr>
        <w:t xml:space="preserve">SSB defined in BWP-specific </w:t>
      </w:r>
      <w:r w:rsidRPr="006C3FBB">
        <w:rPr>
          <w:b/>
          <w:bCs/>
          <w:i/>
          <w:sz w:val="20"/>
          <w:szCs w:val="20"/>
          <w:u w:val="single"/>
          <w:lang w:eastAsia="ko-KR"/>
        </w:rPr>
        <w:t>servingCellMO</w:t>
      </w:r>
      <w:r w:rsidRPr="006C3FBB">
        <w:rPr>
          <w:b/>
          <w:bCs/>
          <w:sz w:val="20"/>
          <w:szCs w:val="20"/>
          <w:u w:val="single"/>
          <w:lang w:eastAsia="ko-KR"/>
        </w:rPr>
        <w:t xml:space="preserve"> under </w:t>
      </w:r>
      <w:r w:rsidRPr="006C3FBB">
        <w:rPr>
          <w:b/>
          <w:bCs/>
          <w:i/>
          <w:sz w:val="20"/>
          <w:szCs w:val="20"/>
          <w:u w:val="single"/>
          <w:lang w:eastAsia="ko-KR"/>
        </w:rPr>
        <w:t>BWP-DownlinkDedicated</w:t>
      </w:r>
      <w:r w:rsidRPr="006C3FBB">
        <w:rPr>
          <w:b/>
          <w:bCs/>
          <w:sz w:val="20"/>
          <w:szCs w:val="20"/>
          <w:u w:val="single"/>
          <w:lang w:eastAsia="ko-KR"/>
        </w:rPr>
        <w:t xml:space="preserve"> of active DL BWP. If the field is absent, </w:t>
      </w:r>
      <w:r w:rsidRPr="006C3FBB">
        <w:rPr>
          <w:rFonts w:eastAsia="Yu Mincho"/>
          <w:b/>
          <w:bCs/>
          <w:sz w:val="20"/>
          <w:szCs w:val="20"/>
          <w:u w:val="single"/>
        </w:rPr>
        <w:t xml:space="preserve">the reference SSB is the SSB defined in </w:t>
      </w:r>
      <w:r w:rsidRPr="006C3FBB">
        <w:rPr>
          <w:rFonts w:eastAsia="Yu Mincho"/>
          <w:b/>
          <w:bCs/>
          <w:i/>
          <w:sz w:val="20"/>
          <w:szCs w:val="20"/>
          <w:u w:val="single"/>
        </w:rPr>
        <w:t>servingCellMO</w:t>
      </w:r>
      <w:r w:rsidRPr="006C3FBB">
        <w:rPr>
          <w:rFonts w:eastAsia="Yu Mincho"/>
          <w:b/>
          <w:bCs/>
          <w:sz w:val="20"/>
          <w:szCs w:val="20"/>
          <w:u w:val="single"/>
        </w:rPr>
        <w:t xml:space="preserve"> under </w:t>
      </w:r>
      <w:r w:rsidRPr="006C3FBB">
        <w:rPr>
          <w:rFonts w:eastAsia="Yu Mincho"/>
          <w:b/>
          <w:bCs/>
          <w:i/>
          <w:sz w:val="20"/>
          <w:szCs w:val="20"/>
          <w:u w:val="single"/>
        </w:rPr>
        <w:t>ServingCellConfig</w:t>
      </w:r>
      <w:r w:rsidRPr="006C3FBB">
        <w:rPr>
          <w:b/>
          <w:bCs/>
          <w:sz w:val="20"/>
          <w:szCs w:val="20"/>
          <w:lang w:eastAsia="zh-CN"/>
        </w:rPr>
        <w:t xml:space="preserve"> </w:t>
      </w:r>
    </w:p>
    <w:p w14:paraId="207386DB" w14:textId="77777777" w:rsidR="00BF56D5" w:rsidRDefault="00BF56D5" w:rsidP="00BF56D5">
      <w:pPr>
        <w:rPr>
          <w:b/>
          <w:bCs/>
          <w:lang w:eastAsia="zh-CN"/>
        </w:rPr>
      </w:pPr>
    </w:p>
    <w:p w14:paraId="0B0935BC" w14:textId="77777777" w:rsidR="00BF56D5" w:rsidRDefault="00BF56D5" w:rsidP="00BF56D5">
      <w:pPr>
        <w:rPr>
          <w:b/>
          <w:bCs/>
          <w:lang w:eastAsia="zh-CN"/>
        </w:rPr>
      </w:pPr>
      <w:r>
        <w:rPr>
          <w:b/>
          <w:bCs/>
          <w:lang w:eastAsia="zh-CN"/>
        </w:rPr>
        <w:t>Proposal</w:t>
      </w:r>
      <w:r w:rsidRPr="0023591A">
        <w:rPr>
          <w:b/>
          <w:bCs/>
          <w:lang w:eastAsia="zh-CN"/>
        </w:rPr>
        <w:t xml:space="preserve"> </w:t>
      </w:r>
      <w:r>
        <w:rPr>
          <w:b/>
          <w:bCs/>
          <w:lang w:eastAsia="zh-CN"/>
        </w:rPr>
        <w:t>2: RAN4 to clarify the definition of intra-frequency and inter-frequency handover in the spec.</w:t>
      </w:r>
    </w:p>
    <w:p w14:paraId="7B5F2D48" w14:textId="77777777" w:rsidR="00BF56D5" w:rsidRDefault="00BF56D5" w:rsidP="00BF56D5">
      <w:pPr>
        <w:rPr>
          <w:b/>
          <w:bCs/>
          <w:lang w:eastAsia="zh-CN"/>
        </w:rPr>
      </w:pPr>
      <w:r>
        <w:rPr>
          <w:b/>
          <w:bCs/>
          <w:lang w:eastAsia="zh-CN"/>
        </w:rPr>
        <w:t xml:space="preserve">Proposal 3: </w:t>
      </w:r>
      <w:r w:rsidRPr="00702DB3">
        <w:rPr>
          <w:b/>
          <w:bCs/>
          <w:lang w:eastAsia="zh-CN"/>
        </w:rPr>
        <w:t xml:space="preserve">Handover for a RedCap UE is defined as intra-frequency handover if the center frequency and subcarrier spacing (SCS) of the </w:t>
      </w:r>
      <w:r w:rsidRPr="00702DB3">
        <w:rPr>
          <w:b/>
          <w:bCs/>
          <w:u w:val="single"/>
          <w:lang w:eastAsia="zh-CN"/>
        </w:rPr>
        <w:t xml:space="preserve">reference SSB of the serving cell </w:t>
      </w:r>
      <w:r w:rsidRPr="00702DB3">
        <w:rPr>
          <w:b/>
          <w:bCs/>
          <w:lang w:eastAsia="zh-CN"/>
        </w:rPr>
        <w:t xml:space="preserve">is same as the center frequency and SCS of the </w:t>
      </w:r>
      <w:r w:rsidRPr="00702DB3">
        <w:rPr>
          <w:b/>
          <w:bCs/>
          <w:u w:val="single"/>
          <w:lang w:eastAsia="zh-CN"/>
        </w:rPr>
        <w:t>reference SSB of the target cell</w:t>
      </w:r>
      <w:r>
        <w:rPr>
          <w:b/>
          <w:bCs/>
          <w:u w:val="single"/>
          <w:lang w:eastAsia="zh-CN"/>
        </w:rPr>
        <w:t>,</w:t>
      </w:r>
      <w:r w:rsidRPr="00702DB3">
        <w:rPr>
          <w:b/>
          <w:bCs/>
          <w:lang w:eastAsia="zh-CN"/>
        </w:rPr>
        <w:t xml:space="preserve"> where</w:t>
      </w:r>
      <w:r>
        <w:rPr>
          <w:b/>
          <w:bCs/>
          <w:lang w:eastAsia="zh-CN"/>
        </w:rPr>
        <w:t>:</w:t>
      </w:r>
    </w:p>
    <w:p w14:paraId="0D592802" w14:textId="77777777" w:rsidR="00BF56D5" w:rsidRPr="00252F8B" w:rsidRDefault="00BF56D5" w:rsidP="00BF56D5">
      <w:pPr>
        <w:pStyle w:val="ListParagraph"/>
        <w:numPr>
          <w:ilvl w:val="0"/>
          <w:numId w:val="34"/>
        </w:numPr>
        <w:rPr>
          <w:rFonts w:eastAsia="MS Mincho"/>
          <w:b/>
          <w:bCs/>
          <w:sz w:val="20"/>
          <w:szCs w:val="20"/>
          <w:lang w:eastAsia="zh-CN"/>
        </w:rPr>
      </w:pPr>
      <w:r w:rsidRPr="00252F8B">
        <w:rPr>
          <w:rFonts w:eastAsia="MS Mincho"/>
          <w:b/>
          <w:bCs/>
          <w:sz w:val="20"/>
          <w:szCs w:val="20"/>
          <w:lang w:val="en-GB" w:eastAsia="zh-CN"/>
        </w:rPr>
        <w:t>The reference SSB of the serving cell is</w:t>
      </w:r>
      <w:r>
        <w:rPr>
          <w:rFonts w:eastAsia="MS Mincho"/>
          <w:b/>
          <w:bCs/>
          <w:sz w:val="20"/>
          <w:szCs w:val="20"/>
          <w:lang w:val="en-GB" w:eastAsia="zh-CN"/>
        </w:rPr>
        <w:t xml:space="preserve"> the </w:t>
      </w:r>
      <w:r w:rsidRPr="00252F8B">
        <w:rPr>
          <w:rFonts w:eastAsia="MS Mincho"/>
          <w:b/>
          <w:bCs/>
          <w:sz w:val="20"/>
          <w:szCs w:val="20"/>
          <w:lang w:eastAsia="zh-CN"/>
        </w:rPr>
        <w:t xml:space="preserve">SSB configured in the </w:t>
      </w:r>
      <w:r w:rsidRPr="00252F8B">
        <w:rPr>
          <w:rFonts w:eastAsia="MS Mincho"/>
          <w:b/>
          <w:bCs/>
          <w:i/>
          <w:iCs/>
          <w:sz w:val="20"/>
          <w:szCs w:val="20"/>
          <w:lang w:eastAsia="zh-CN"/>
        </w:rPr>
        <w:t>BWP-specific</w:t>
      </w:r>
      <w:r w:rsidRPr="00252F8B">
        <w:rPr>
          <w:rFonts w:eastAsia="MS Mincho"/>
          <w:b/>
          <w:bCs/>
          <w:sz w:val="20"/>
          <w:szCs w:val="20"/>
          <w:lang w:eastAsia="zh-CN"/>
        </w:rPr>
        <w:t xml:space="preserve"> </w:t>
      </w:r>
      <w:r w:rsidRPr="00252F8B">
        <w:rPr>
          <w:rFonts w:eastAsia="MS Mincho"/>
          <w:b/>
          <w:bCs/>
          <w:i/>
          <w:iCs/>
          <w:sz w:val="20"/>
          <w:szCs w:val="20"/>
          <w:lang w:eastAsia="zh-CN"/>
        </w:rPr>
        <w:t>servingCellMO</w:t>
      </w:r>
      <w:r w:rsidRPr="00252F8B">
        <w:rPr>
          <w:rFonts w:eastAsia="MS Mincho"/>
          <w:b/>
          <w:bCs/>
          <w:sz w:val="20"/>
          <w:szCs w:val="20"/>
          <w:lang w:eastAsia="zh-CN"/>
        </w:rPr>
        <w:t>, if configured</w:t>
      </w:r>
      <w:r>
        <w:rPr>
          <w:rFonts w:eastAsia="MS Mincho"/>
          <w:b/>
          <w:bCs/>
          <w:sz w:val="20"/>
          <w:szCs w:val="20"/>
          <w:lang w:eastAsia="zh-CN"/>
        </w:rPr>
        <w:t xml:space="preserve">, else the SSB configured in the </w:t>
      </w:r>
      <w:r w:rsidRPr="00252F8B">
        <w:rPr>
          <w:rFonts w:eastAsia="MS Mincho"/>
          <w:b/>
          <w:bCs/>
          <w:i/>
          <w:iCs/>
          <w:sz w:val="20"/>
          <w:szCs w:val="20"/>
          <w:lang w:eastAsia="zh-CN"/>
        </w:rPr>
        <w:t>servingCellMO</w:t>
      </w:r>
    </w:p>
    <w:p w14:paraId="30608A27" w14:textId="77777777" w:rsidR="00BF56D5" w:rsidRPr="00252F8B" w:rsidRDefault="00BF56D5" w:rsidP="00BF56D5">
      <w:pPr>
        <w:pStyle w:val="ListParagraph"/>
        <w:numPr>
          <w:ilvl w:val="0"/>
          <w:numId w:val="34"/>
        </w:numPr>
        <w:rPr>
          <w:rFonts w:eastAsia="MS Mincho"/>
          <w:b/>
          <w:bCs/>
          <w:sz w:val="20"/>
          <w:szCs w:val="20"/>
          <w:lang w:val="en-GB" w:eastAsia="zh-CN"/>
        </w:rPr>
      </w:pPr>
      <w:r w:rsidRPr="00252F8B">
        <w:rPr>
          <w:rFonts w:eastAsia="MS Mincho"/>
          <w:b/>
          <w:bCs/>
          <w:sz w:val="20"/>
          <w:szCs w:val="20"/>
          <w:lang w:val="en-GB" w:eastAsia="zh-CN"/>
        </w:rPr>
        <w:t>The reference SSB of the target cell is</w:t>
      </w:r>
      <w:r>
        <w:rPr>
          <w:rFonts w:eastAsia="MS Mincho"/>
          <w:b/>
          <w:bCs/>
          <w:sz w:val="20"/>
          <w:szCs w:val="20"/>
          <w:lang w:val="en-GB" w:eastAsia="zh-CN"/>
        </w:rPr>
        <w:t xml:space="preserve"> the </w:t>
      </w:r>
      <w:r w:rsidRPr="00133210">
        <w:rPr>
          <w:rFonts w:eastAsia="MS Mincho"/>
          <w:b/>
          <w:bCs/>
          <w:sz w:val="20"/>
          <w:szCs w:val="20"/>
          <w:lang w:val="en-GB" w:eastAsia="zh-CN"/>
        </w:rPr>
        <w:t xml:space="preserve">SSB configured in the </w:t>
      </w:r>
      <w:r w:rsidRPr="00133210">
        <w:rPr>
          <w:rFonts w:eastAsia="MS Mincho"/>
          <w:b/>
          <w:bCs/>
          <w:i/>
          <w:iCs/>
          <w:sz w:val="20"/>
          <w:szCs w:val="20"/>
          <w:lang w:val="en-GB" w:eastAsia="zh-CN"/>
        </w:rPr>
        <w:t xml:space="preserve">firstActiveBWP </w:t>
      </w:r>
      <w:r w:rsidRPr="00133210">
        <w:rPr>
          <w:rFonts w:eastAsia="MS Mincho"/>
          <w:b/>
          <w:bCs/>
          <w:sz w:val="20"/>
          <w:szCs w:val="20"/>
          <w:lang w:val="en-GB" w:eastAsia="zh-CN"/>
        </w:rPr>
        <w:t>of the target cell</w:t>
      </w:r>
    </w:p>
    <w:p w14:paraId="7092BDE5" w14:textId="77777777" w:rsidR="00BF56D5" w:rsidRDefault="00BF56D5" w:rsidP="00BF56D5">
      <w:pPr>
        <w:rPr>
          <w:b/>
          <w:bCs/>
          <w:lang w:eastAsia="zh-CN"/>
        </w:rPr>
      </w:pPr>
      <w:r>
        <w:rPr>
          <w:b/>
          <w:bCs/>
          <w:lang w:eastAsia="zh-CN"/>
        </w:rPr>
        <w:t>Observation 4: The definition of intra-frequency and inter-frequency cell for RRC re-establishment preocedure for RedCap UEs is not clear in the spec (TS 38.133).</w:t>
      </w:r>
    </w:p>
    <w:p w14:paraId="488BED81" w14:textId="77777777" w:rsidR="00BF56D5" w:rsidRDefault="00BF56D5" w:rsidP="00BF56D5">
      <w:pPr>
        <w:rPr>
          <w:b/>
          <w:bCs/>
          <w:lang w:eastAsia="zh-CN"/>
        </w:rPr>
      </w:pPr>
      <w:r>
        <w:rPr>
          <w:b/>
          <w:bCs/>
          <w:lang w:eastAsia="zh-CN"/>
        </w:rPr>
        <w:t>Proposal 4: RAN4 to clarify the definition of intra-frequency and inter-frequency cell for RRC re-establishment procedure for RedCap UEs in the spec.</w:t>
      </w:r>
    </w:p>
    <w:p w14:paraId="3B235CAF" w14:textId="77777777" w:rsidR="00BF56D5" w:rsidRDefault="00BF56D5" w:rsidP="00BF56D5">
      <w:pPr>
        <w:rPr>
          <w:b/>
          <w:bCs/>
          <w:lang w:eastAsia="zh-CN"/>
        </w:rPr>
      </w:pPr>
      <w:r>
        <w:rPr>
          <w:b/>
          <w:bCs/>
          <w:lang w:eastAsia="zh-CN"/>
        </w:rPr>
        <w:t xml:space="preserve">Proposal 5: </w:t>
      </w:r>
      <w:r w:rsidRPr="000E347E">
        <w:rPr>
          <w:b/>
          <w:bCs/>
          <w:lang w:eastAsia="zh-CN"/>
        </w:rPr>
        <w:t xml:space="preserve">A neighbor cell for RRC re-establishment procedures for a RedCap UE is defined as an intra-frequency cell if the center frequency (and subcarrier spacing (SCS)) of the </w:t>
      </w:r>
      <w:r w:rsidRPr="000E347E">
        <w:rPr>
          <w:b/>
          <w:bCs/>
          <w:u w:val="single"/>
          <w:lang w:eastAsia="zh-CN"/>
        </w:rPr>
        <w:t xml:space="preserve">reference SSB of the serving cell </w:t>
      </w:r>
      <w:r w:rsidRPr="000E347E">
        <w:rPr>
          <w:b/>
          <w:bCs/>
          <w:lang w:eastAsia="zh-CN"/>
        </w:rPr>
        <w:t xml:space="preserve">is same as the center frequency (and SCS) of the </w:t>
      </w:r>
      <w:r w:rsidRPr="000E347E">
        <w:rPr>
          <w:b/>
          <w:bCs/>
          <w:u w:val="single"/>
          <w:lang w:eastAsia="zh-CN"/>
        </w:rPr>
        <w:t>reference SSB of the neighbor cell</w:t>
      </w:r>
      <w:r w:rsidRPr="000E347E">
        <w:rPr>
          <w:b/>
          <w:bCs/>
          <w:lang w:eastAsia="zh-CN"/>
        </w:rPr>
        <w:t>; else it is considered as inter-frequency cell</w:t>
      </w:r>
      <w:r>
        <w:rPr>
          <w:b/>
          <w:bCs/>
          <w:lang w:eastAsia="zh-CN"/>
        </w:rPr>
        <w:t>,</w:t>
      </w:r>
      <w:r w:rsidRPr="00702DB3">
        <w:rPr>
          <w:b/>
          <w:bCs/>
          <w:lang w:eastAsia="zh-CN"/>
        </w:rPr>
        <w:t xml:space="preserve"> where</w:t>
      </w:r>
      <w:r>
        <w:rPr>
          <w:b/>
          <w:bCs/>
          <w:lang w:eastAsia="zh-CN"/>
        </w:rPr>
        <w:t>:</w:t>
      </w:r>
    </w:p>
    <w:p w14:paraId="56A771DA" w14:textId="77777777" w:rsidR="00BF56D5" w:rsidRPr="00D876AC" w:rsidRDefault="00BF56D5" w:rsidP="00BF56D5">
      <w:pPr>
        <w:pStyle w:val="ListParagraph"/>
        <w:numPr>
          <w:ilvl w:val="0"/>
          <w:numId w:val="34"/>
        </w:numPr>
        <w:rPr>
          <w:rFonts w:eastAsia="MS Mincho"/>
          <w:b/>
          <w:bCs/>
          <w:sz w:val="20"/>
          <w:szCs w:val="20"/>
          <w:lang w:eastAsia="zh-CN"/>
        </w:rPr>
      </w:pPr>
      <w:r w:rsidRPr="00C932E8">
        <w:rPr>
          <w:rFonts w:eastAsia="MS Mincho"/>
          <w:b/>
          <w:bCs/>
          <w:sz w:val="20"/>
          <w:szCs w:val="20"/>
          <w:lang w:eastAsia="zh-CN"/>
        </w:rPr>
        <w:t xml:space="preserve">The reference SSB of the target cell is the </w:t>
      </w:r>
      <w:r>
        <w:rPr>
          <w:rFonts w:eastAsia="MS Mincho"/>
          <w:b/>
          <w:bCs/>
          <w:sz w:val="20"/>
          <w:szCs w:val="20"/>
          <w:lang w:eastAsia="zh-CN"/>
        </w:rPr>
        <w:t>CD-</w:t>
      </w:r>
      <w:r w:rsidRPr="00C932E8">
        <w:rPr>
          <w:rFonts w:eastAsia="MS Mincho"/>
          <w:b/>
          <w:bCs/>
          <w:sz w:val="20"/>
          <w:szCs w:val="20"/>
          <w:lang w:eastAsia="zh-CN"/>
        </w:rPr>
        <w:t>SSB of the target cell</w:t>
      </w:r>
    </w:p>
    <w:p w14:paraId="70C78E96" w14:textId="5E1ABDA4" w:rsidR="00BF56D5" w:rsidRPr="00D876AC" w:rsidRDefault="00BF56D5" w:rsidP="00BF56D5">
      <w:pPr>
        <w:pStyle w:val="ListParagraph"/>
        <w:numPr>
          <w:ilvl w:val="0"/>
          <w:numId w:val="34"/>
        </w:numPr>
        <w:rPr>
          <w:rFonts w:eastAsia="MS Mincho"/>
          <w:b/>
          <w:bCs/>
          <w:sz w:val="20"/>
          <w:szCs w:val="20"/>
          <w:lang w:eastAsia="zh-CN"/>
        </w:rPr>
      </w:pPr>
      <w:r w:rsidRPr="00252F8B">
        <w:rPr>
          <w:rFonts w:eastAsia="MS Mincho"/>
          <w:b/>
          <w:bCs/>
          <w:sz w:val="20"/>
          <w:szCs w:val="20"/>
          <w:lang w:val="en-GB" w:eastAsia="zh-CN"/>
        </w:rPr>
        <w:t>The reference SSB of the serving cell is</w:t>
      </w:r>
      <w:r>
        <w:rPr>
          <w:rFonts w:eastAsia="MS Mincho"/>
          <w:b/>
          <w:bCs/>
          <w:sz w:val="20"/>
          <w:szCs w:val="20"/>
          <w:lang w:val="en-GB" w:eastAsia="zh-CN"/>
        </w:rPr>
        <w:t xml:space="preserve"> </w:t>
      </w:r>
    </w:p>
    <w:p w14:paraId="32B5FAE4" w14:textId="77777777" w:rsidR="00BF56D5" w:rsidRPr="000D7223" w:rsidRDefault="00BF56D5" w:rsidP="00BF56D5">
      <w:pPr>
        <w:pStyle w:val="ListParagraph"/>
        <w:numPr>
          <w:ilvl w:val="1"/>
          <w:numId w:val="34"/>
        </w:numPr>
        <w:rPr>
          <w:rFonts w:eastAsia="MS Mincho"/>
          <w:b/>
          <w:bCs/>
          <w:sz w:val="20"/>
          <w:szCs w:val="20"/>
          <w:lang w:eastAsia="zh-CN"/>
        </w:rPr>
      </w:pPr>
      <w:r>
        <w:rPr>
          <w:rFonts w:eastAsia="MS Mincho"/>
          <w:b/>
          <w:bCs/>
          <w:sz w:val="20"/>
          <w:szCs w:val="20"/>
          <w:lang w:val="en-GB" w:eastAsia="zh-CN"/>
        </w:rPr>
        <w:t xml:space="preserve">Option 1: </w:t>
      </w:r>
      <w:r w:rsidRPr="00252F8B">
        <w:rPr>
          <w:rFonts w:eastAsia="MS Mincho"/>
          <w:b/>
          <w:bCs/>
          <w:sz w:val="20"/>
          <w:szCs w:val="20"/>
          <w:lang w:eastAsia="zh-CN"/>
        </w:rPr>
        <w:t xml:space="preserve">SSB configured in the </w:t>
      </w:r>
      <w:r w:rsidRPr="00252F8B">
        <w:rPr>
          <w:rFonts w:eastAsia="MS Mincho"/>
          <w:b/>
          <w:bCs/>
          <w:i/>
          <w:iCs/>
          <w:sz w:val="20"/>
          <w:szCs w:val="20"/>
          <w:lang w:eastAsia="zh-CN"/>
        </w:rPr>
        <w:t>BWP-specific</w:t>
      </w:r>
      <w:r w:rsidRPr="00252F8B">
        <w:rPr>
          <w:rFonts w:eastAsia="MS Mincho"/>
          <w:b/>
          <w:bCs/>
          <w:sz w:val="20"/>
          <w:szCs w:val="20"/>
          <w:lang w:eastAsia="zh-CN"/>
        </w:rPr>
        <w:t xml:space="preserve"> </w:t>
      </w:r>
      <w:r w:rsidRPr="00252F8B">
        <w:rPr>
          <w:rFonts w:eastAsia="MS Mincho"/>
          <w:b/>
          <w:bCs/>
          <w:i/>
          <w:iCs/>
          <w:sz w:val="20"/>
          <w:szCs w:val="20"/>
          <w:lang w:eastAsia="zh-CN"/>
        </w:rPr>
        <w:t>servingCellMO</w:t>
      </w:r>
      <w:r w:rsidRPr="00252F8B">
        <w:rPr>
          <w:rFonts w:eastAsia="MS Mincho"/>
          <w:b/>
          <w:bCs/>
          <w:sz w:val="20"/>
          <w:szCs w:val="20"/>
          <w:lang w:eastAsia="zh-CN"/>
        </w:rPr>
        <w:t>, if configured</w:t>
      </w:r>
      <w:r>
        <w:rPr>
          <w:rFonts w:eastAsia="MS Mincho"/>
          <w:b/>
          <w:bCs/>
          <w:sz w:val="20"/>
          <w:szCs w:val="20"/>
          <w:lang w:eastAsia="zh-CN"/>
        </w:rPr>
        <w:t xml:space="preserve">, else the SSB configured in the </w:t>
      </w:r>
      <w:r w:rsidRPr="00252F8B">
        <w:rPr>
          <w:rFonts w:eastAsia="MS Mincho"/>
          <w:b/>
          <w:bCs/>
          <w:i/>
          <w:iCs/>
          <w:sz w:val="20"/>
          <w:szCs w:val="20"/>
          <w:lang w:eastAsia="zh-CN"/>
        </w:rPr>
        <w:t>servingCellMO</w:t>
      </w:r>
    </w:p>
    <w:p w14:paraId="0A66D3F9" w14:textId="77777777" w:rsidR="00BF56D5" w:rsidRPr="000D7223" w:rsidRDefault="00BF56D5" w:rsidP="00BF56D5">
      <w:pPr>
        <w:pStyle w:val="ListParagraph"/>
        <w:numPr>
          <w:ilvl w:val="1"/>
          <w:numId w:val="34"/>
        </w:numPr>
        <w:rPr>
          <w:rFonts w:eastAsia="MS Mincho"/>
          <w:b/>
          <w:bCs/>
          <w:sz w:val="20"/>
          <w:szCs w:val="20"/>
          <w:lang w:eastAsia="zh-CN"/>
        </w:rPr>
      </w:pPr>
      <w:r>
        <w:rPr>
          <w:rFonts w:eastAsia="MS Mincho"/>
          <w:b/>
          <w:bCs/>
          <w:sz w:val="20"/>
          <w:szCs w:val="20"/>
          <w:lang w:val="en-GB" w:eastAsia="zh-CN"/>
        </w:rPr>
        <w:t>Option 2: CD-SSB of the serving cell</w:t>
      </w:r>
    </w:p>
    <w:p w14:paraId="25DEB473" w14:textId="77777777" w:rsidR="00BF56D5" w:rsidRPr="00C932E8" w:rsidRDefault="00BF56D5" w:rsidP="00BF56D5">
      <w:pPr>
        <w:pStyle w:val="ListParagraph"/>
        <w:numPr>
          <w:ilvl w:val="1"/>
          <w:numId w:val="34"/>
        </w:numPr>
        <w:rPr>
          <w:rFonts w:eastAsia="MS Mincho"/>
          <w:b/>
          <w:bCs/>
          <w:sz w:val="20"/>
          <w:szCs w:val="20"/>
          <w:lang w:eastAsia="zh-CN"/>
        </w:rPr>
      </w:pPr>
      <w:r>
        <w:rPr>
          <w:rFonts w:eastAsia="MS Mincho"/>
          <w:b/>
          <w:bCs/>
          <w:sz w:val="20"/>
          <w:szCs w:val="20"/>
          <w:lang w:val="en-GB" w:eastAsia="zh-CN"/>
        </w:rPr>
        <w:t>Option 3: SSB within the active BWP</w:t>
      </w:r>
    </w:p>
    <w:p w14:paraId="13FCE315" w14:textId="77777777" w:rsidR="00DA25EC" w:rsidRDefault="00DA25EC" w:rsidP="00DA25EC">
      <w:pPr>
        <w:pStyle w:val="Heading1"/>
        <w:numPr>
          <w:ilvl w:val="0"/>
          <w:numId w:val="0"/>
        </w:numPr>
        <w:rPr>
          <w:lang w:val="en-US"/>
        </w:rPr>
      </w:pPr>
      <w:r>
        <w:rPr>
          <w:lang w:val="en-US"/>
        </w:rPr>
        <w:t>References</w:t>
      </w:r>
    </w:p>
    <w:p w14:paraId="67A04922" w14:textId="77777777" w:rsidR="00DA25EC" w:rsidRDefault="00DA25EC" w:rsidP="00DA25EC">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29F9D75F" w14:textId="35221FD9" w:rsidR="00F81258" w:rsidRDefault="00643E5D" w:rsidP="000A011B">
      <w:pPr>
        <w:rPr>
          <w:lang w:val="en-US"/>
        </w:rPr>
      </w:pPr>
      <w:r>
        <w:rPr>
          <w:lang w:val="en-US"/>
        </w:rPr>
        <w:t xml:space="preserve">[2] </w:t>
      </w:r>
      <w:r w:rsidRPr="00392D9C">
        <w:rPr>
          <w:lang w:val="en-US"/>
        </w:rPr>
        <w:t>R4-</w:t>
      </w:r>
      <w:r w:rsidRPr="00100C1B">
        <w:rPr>
          <w:lang w:val="en-US"/>
        </w:rPr>
        <w:t>22</w:t>
      </w:r>
      <w:r w:rsidR="006A27C6">
        <w:rPr>
          <w:lang w:val="en-US"/>
        </w:rPr>
        <w:t>207</w:t>
      </w:r>
      <w:r w:rsidR="003E0953">
        <w:rPr>
          <w:lang w:val="en-US"/>
        </w:rPr>
        <w:t>14</w:t>
      </w:r>
      <w:r>
        <w:rPr>
          <w:lang w:val="en-US"/>
        </w:rPr>
        <w:t>,</w:t>
      </w:r>
      <w:r w:rsidRPr="00392D9C">
        <w:rPr>
          <w:lang w:val="en-US"/>
        </w:rPr>
        <w:t xml:space="preserve"> </w:t>
      </w:r>
      <w:r>
        <w:rPr>
          <w:lang w:val="en-US"/>
        </w:rPr>
        <w:t>“</w:t>
      </w:r>
      <w:r w:rsidR="007F377D" w:rsidRPr="007F377D">
        <w:rPr>
          <w:lang w:val="en-US"/>
        </w:rPr>
        <w:t>WF on Rel-17 NR RedCap RRM Core requirement maintenance</w:t>
      </w:r>
      <w:r>
        <w:rPr>
          <w:lang w:val="en-US"/>
        </w:rPr>
        <w:t xml:space="preserve">”, </w:t>
      </w:r>
      <w:r w:rsidR="007F377D">
        <w:rPr>
          <w:lang w:val="en-US"/>
        </w:rPr>
        <w:t>Vivo</w:t>
      </w:r>
      <w:r>
        <w:rPr>
          <w:lang w:val="en-US"/>
        </w:rPr>
        <w:t>, RAN4#10</w:t>
      </w:r>
      <w:r w:rsidR="00B947D8">
        <w:rPr>
          <w:lang w:val="en-US"/>
        </w:rPr>
        <w:t>5</w:t>
      </w:r>
    </w:p>
    <w:sectPr w:rsidR="00F81258"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B913" w14:textId="77777777" w:rsidR="004A2294" w:rsidRDefault="004A2294">
      <w:r>
        <w:separator/>
      </w:r>
    </w:p>
  </w:endnote>
  <w:endnote w:type="continuationSeparator" w:id="0">
    <w:p w14:paraId="22C19FA9" w14:textId="77777777" w:rsidR="004A2294" w:rsidRDefault="004A2294">
      <w:r>
        <w:continuationSeparator/>
      </w:r>
    </w:p>
  </w:endnote>
  <w:endnote w:type="continuationNotice" w:id="1">
    <w:p w14:paraId="7C424B0C" w14:textId="77777777" w:rsidR="004A2294" w:rsidRDefault="004A2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3CFEE" w14:textId="77777777" w:rsidR="004A2294" w:rsidRDefault="004A2294">
      <w:r>
        <w:separator/>
      </w:r>
    </w:p>
  </w:footnote>
  <w:footnote w:type="continuationSeparator" w:id="0">
    <w:p w14:paraId="17F6F7D0" w14:textId="77777777" w:rsidR="004A2294" w:rsidRDefault="004A2294">
      <w:r>
        <w:continuationSeparator/>
      </w:r>
    </w:p>
  </w:footnote>
  <w:footnote w:type="continuationNotice" w:id="1">
    <w:p w14:paraId="6B192647" w14:textId="77777777" w:rsidR="004A2294" w:rsidRDefault="004A2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0"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F7420"/>
    <w:multiLevelType w:val="hybridMultilevel"/>
    <w:tmpl w:val="84A6797A"/>
    <w:lvl w:ilvl="0" w:tplc="A052D004">
      <w:start w:val="1"/>
      <w:numFmt w:val="bullet"/>
      <w:lvlText w:val="•"/>
      <w:lvlJc w:val="left"/>
      <w:pPr>
        <w:tabs>
          <w:tab w:val="num" w:pos="720"/>
        </w:tabs>
        <w:ind w:left="720" w:hanging="360"/>
      </w:pPr>
      <w:rPr>
        <w:rFonts w:ascii="Arial" w:hAnsi="Arial" w:hint="default"/>
      </w:rPr>
    </w:lvl>
    <w:lvl w:ilvl="1" w:tplc="C7E41626">
      <w:start w:val="1"/>
      <w:numFmt w:val="bullet"/>
      <w:lvlText w:val="•"/>
      <w:lvlJc w:val="left"/>
      <w:pPr>
        <w:tabs>
          <w:tab w:val="num" w:pos="1440"/>
        </w:tabs>
        <w:ind w:left="1440" w:hanging="360"/>
      </w:pPr>
      <w:rPr>
        <w:rFonts w:ascii="Arial" w:hAnsi="Arial" w:hint="default"/>
      </w:rPr>
    </w:lvl>
    <w:lvl w:ilvl="2" w:tplc="06F8A05A" w:tentative="1">
      <w:start w:val="1"/>
      <w:numFmt w:val="bullet"/>
      <w:lvlText w:val="•"/>
      <w:lvlJc w:val="left"/>
      <w:pPr>
        <w:tabs>
          <w:tab w:val="num" w:pos="2160"/>
        </w:tabs>
        <w:ind w:left="2160" w:hanging="360"/>
      </w:pPr>
      <w:rPr>
        <w:rFonts w:ascii="Arial" w:hAnsi="Arial" w:hint="default"/>
      </w:rPr>
    </w:lvl>
    <w:lvl w:ilvl="3" w:tplc="3F841710" w:tentative="1">
      <w:start w:val="1"/>
      <w:numFmt w:val="bullet"/>
      <w:lvlText w:val="•"/>
      <w:lvlJc w:val="left"/>
      <w:pPr>
        <w:tabs>
          <w:tab w:val="num" w:pos="2880"/>
        </w:tabs>
        <w:ind w:left="2880" w:hanging="360"/>
      </w:pPr>
      <w:rPr>
        <w:rFonts w:ascii="Arial" w:hAnsi="Arial" w:hint="default"/>
      </w:rPr>
    </w:lvl>
    <w:lvl w:ilvl="4" w:tplc="35FA3216" w:tentative="1">
      <w:start w:val="1"/>
      <w:numFmt w:val="bullet"/>
      <w:lvlText w:val="•"/>
      <w:lvlJc w:val="left"/>
      <w:pPr>
        <w:tabs>
          <w:tab w:val="num" w:pos="3600"/>
        </w:tabs>
        <w:ind w:left="3600" w:hanging="360"/>
      </w:pPr>
      <w:rPr>
        <w:rFonts w:ascii="Arial" w:hAnsi="Arial" w:hint="default"/>
      </w:rPr>
    </w:lvl>
    <w:lvl w:ilvl="5" w:tplc="F684EC3C" w:tentative="1">
      <w:start w:val="1"/>
      <w:numFmt w:val="bullet"/>
      <w:lvlText w:val="•"/>
      <w:lvlJc w:val="left"/>
      <w:pPr>
        <w:tabs>
          <w:tab w:val="num" w:pos="4320"/>
        </w:tabs>
        <w:ind w:left="4320" w:hanging="360"/>
      </w:pPr>
      <w:rPr>
        <w:rFonts w:ascii="Arial" w:hAnsi="Arial" w:hint="default"/>
      </w:rPr>
    </w:lvl>
    <w:lvl w:ilvl="6" w:tplc="5C4C4D24" w:tentative="1">
      <w:start w:val="1"/>
      <w:numFmt w:val="bullet"/>
      <w:lvlText w:val="•"/>
      <w:lvlJc w:val="left"/>
      <w:pPr>
        <w:tabs>
          <w:tab w:val="num" w:pos="5040"/>
        </w:tabs>
        <w:ind w:left="5040" w:hanging="360"/>
      </w:pPr>
      <w:rPr>
        <w:rFonts w:ascii="Arial" w:hAnsi="Arial" w:hint="default"/>
      </w:rPr>
    </w:lvl>
    <w:lvl w:ilvl="7" w:tplc="ACD28CD6" w:tentative="1">
      <w:start w:val="1"/>
      <w:numFmt w:val="bullet"/>
      <w:lvlText w:val="•"/>
      <w:lvlJc w:val="left"/>
      <w:pPr>
        <w:tabs>
          <w:tab w:val="num" w:pos="5760"/>
        </w:tabs>
        <w:ind w:left="5760" w:hanging="360"/>
      </w:pPr>
      <w:rPr>
        <w:rFonts w:ascii="Arial" w:hAnsi="Arial" w:hint="default"/>
      </w:rPr>
    </w:lvl>
    <w:lvl w:ilvl="8" w:tplc="828235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0" w15:restartNumberingAfterBreak="0">
    <w:nsid w:val="46DD55D6"/>
    <w:multiLevelType w:val="hybridMultilevel"/>
    <w:tmpl w:val="5972CACC"/>
    <w:lvl w:ilvl="0" w:tplc="A0DA70B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9"/>
  </w:num>
  <w:num w:numId="2" w16cid:durableId="1702169165">
    <w:abstractNumId w:val="32"/>
  </w:num>
  <w:num w:numId="3" w16cid:durableId="896598194">
    <w:abstractNumId w:val="36"/>
  </w:num>
  <w:num w:numId="4" w16cid:durableId="1065757783">
    <w:abstractNumId w:val="13"/>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33"/>
  </w:num>
  <w:num w:numId="8" w16cid:durableId="2127962014">
    <w:abstractNumId w:val="17"/>
  </w:num>
  <w:num w:numId="9" w16cid:durableId="66709578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4"/>
  </w:num>
  <w:num w:numId="11" w16cid:durableId="1146160943">
    <w:abstractNumId w:val="7"/>
  </w:num>
  <w:num w:numId="12" w16cid:durableId="520902217">
    <w:abstractNumId w:val="26"/>
  </w:num>
  <w:num w:numId="13" w16cid:durableId="347875775">
    <w:abstractNumId w:val="3"/>
  </w:num>
  <w:num w:numId="14" w16cid:durableId="1705055357">
    <w:abstractNumId w:val="27"/>
  </w:num>
  <w:num w:numId="15" w16cid:durableId="1788889163">
    <w:abstractNumId w:val="35"/>
  </w:num>
  <w:num w:numId="16" w16cid:durableId="2072802472">
    <w:abstractNumId w:val="25"/>
  </w:num>
  <w:num w:numId="17" w16cid:durableId="2073694105">
    <w:abstractNumId w:val="8"/>
  </w:num>
  <w:num w:numId="18" w16cid:durableId="1190534865">
    <w:abstractNumId w:val="18"/>
  </w:num>
  <w:num w:numId="19" w16cid:durableId="2096242388">
    <w:abstractNumId w:val="10"/>
  </w:num>
  <w:num w:numId="20" w16cid:durableId="2710014">
    <w:abstractNumId w:val="28"/>
  </w:num>
  <w:num w:numId="21" w16cid:durableId="1235164252">
    <w:abstractNumId w:val="5"/>
  </w:num>
  <w:num w:numId="22" w16cid:durableId="447968590">
    <w:abstractNumId w:val="31"/>
  </w:num>
  <w:num w:numId="23" w16cid:durableId="938026720">
    <w:abstractNumId w:val="29"/>
  </w:num>
  <w:num w:numId="24" w16cid:durableId="769470775">
    <w:abstractNumId w:val="24"/>
  </w:num>
  <w:num w:numId="25" w16cid:durableId="1252856002">
    <w:abstractNumId w:val="11"/>
  </w:num>
  <w:num w:numId="26" w16cid:durableId="519507914">
    <w:abstractNumId w:val="4"/>
  </w:num>
  <w:num w:numId="27" w16cid:durableId="1252474723">
    <w:abstractNumId w:val="34"/>
  </w:num>
  <w:num w:numId="28" w16cid:durableId="860322260">
    <w:abstractNumId w:val="6"/>
  </w:num>
  <w:num w:numId="29" w16cid:durableId="162621787">
    <w:abstractNumId w:val="9"/>
  </w:num>
  <w:num w:numId="30" w16cid:durableId="2084835903">
    <w:abstractNumId w:val="22"/>
  </w:num>
  <w:num w:numId="31" w16cid:durableId="1296528613">
    <w:abstractNumId w:val="23"/>
  </w:num>
  <w:num w:numId="32" w16cid:durableId="419181451">
    <w:abstractNumId w:val="2"/>
  </w:num>
  <w:num w:numId="33" w16cid:durableId="1225409600">
    <w:abstractNumId w:val="16"/>
  </w:num>
  <w:num w:numId="34" w16cid:durableId="111555658">
    <w:abstractNumId w:val="15"/>
  </w:num>
  <w:num w:numId="35" w16cid:durableId="1618295758">
    <w:abstractNumId w:val="12"/>
  </w:num>
  <w:num w:numId="36" w16cid:durableId="812983163">
    <w:abstractNumId w:val="30"/>
  </w:num>
  <w:num w:numId="37" w16cid:durableId="570166167">
    <w:abstractNumId w:val="21"/>
  </w:num>
  <w:num w:numId="38" w16cid:durableId="2051226262">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38A"/>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901"/>
    <w:rsid w:val="0004791F"/>
    <w:rsid w:val="0004795F"/>
    <w:rsid w:val="00047A40"/>
    <w:rsid w:val="00050038"/>
    <w:rsid w:val="00050E50"/>
    <w:rsid w:val="0005147A"/>
    <w:rsid w:val="0005179F"/>
    <w:rsid w:val="00051970"/>
    <w:rsid w:val="00051AF5"/>
    <w:rsid w:val="00051E8B"/>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1F1"/>
    <w:rsid w:val="00090228"/>
    <w:rsid w:val="000904F1"/>
    <w:rsid w:val="00090928"/>
    <w:rsid w:val="00090BB8"/>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35"/>
    <w:rsid w:val="000A5498"/>
    <w:rsid w:val="000A561C"/>
    <w:rsid w:val="000A5772"/>
    <w:rsid w:val="000A5F53"/>
    <w:rsid w:val="000A6602"/>
    <w:rsid w:val="000A6C97"/>
    <w:rsid w:val="000A6EBC"/>
    <w:rsid w:val="000A6F05"/>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DF8"/>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22D"/>
    <w:rsid w:val="000E480C"/>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5D"/>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723"/>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F11"/>
    <w:rsid w:val="00154FE9"/>
    <w:rsid w:val="00155094"/>
    <w:rsid w:val="001555F9"/>
    <w:rsid w:val="00155650"/>
    <w:rsid w:val="0015578B"/>
    <w:rsid w:val="001557B5"/>
    <w:rsid w:val="00155A20"/>
    <w:rsid w:val="00155F6A"/>
    <w:rsid w:val="001562BE"/>
    <w:rsid w:val="00156C97"/>
    <w:rsid w:val="00157292"/>
    <w:rsid w:val="0015760F"/>
    <w:rsid w:val="0015766A"/>
    <w:rsid w:val="00157CDD"/>
    <w:rsid w:val="00157D5F"/>
    <w:rsid w:val="00157F55"/>
    <w:rsid w:val="00160007"/>
    <w:rsid w:val="00160296"/>
    <w:rsid w:val="001602D8"/>
    <w:rsid w:val="0016046E"/>
    <w:rsid w:val="00160AA5"/>
    <w:rsid w:val="0016136A"/>
    <w:rsid w:val="0016136E"/>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146"/>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AD"/>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B3"/>
    <w:rsid w:val="002B4CE9"/>
    <w:rsid w:val="002B4D87"/>
    <w:rsid w:val="002B51D0"/>
    <w:rsid w:val="002B55F3"/>
    <w:rsid w:val="002B57A9"/>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A48"/>
    <w:rsid w:val="00384C3E"/>
    <w:rsid w:val="00384DC1"/>
    <w:rsid w:val="00384EC3"/>
    <w:rsid w:val="00385043"/>
    <w:rsid w:val="003850E8"/>
    <w:rsid w:val="00385D1B"/>
    <w:rsid w:val="00385D57"/>
    <w:rsid w:val="00386006"/>
    <w:rsid w:val="00386098"/>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94B"/>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7D6"/>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B01"/>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8"/>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5100"/>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2E38"/>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AF1"/>
    <w:rsid w:val="005F4D72"/>
    <w:rsid w:val="005F5101"/>
    <w:rsid w:val="005F5E71"/>
    <w:rsid w:val="005F6493"/>
    <w:rsid w:val="005F655A"/>
    <w:rsid w:val="005F70FB"/>
    <w:rsid w:val="005F7253"/>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1BC6"/>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274A3"/>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5D"/>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474"/>
    <w:rsid w:val="006A2494"/>
    <w:rsid w:val="006A26A1"/>
    <w:rsid w:val="006A2708"/>
    <w:rsid w:val="006A2793"/>
    <w:rsid w:val="006A27C6"/>
    <w:rsid w:val="006A28BE"/>
    <w:rsid w:val="006A2A97"/>
    <w:rsid w:val="006A2E0D"/>
    <w:rsid w:val="006A317E"/>
    <w:rsid w:val="006A392E"/>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37"/>
    <w:rsid w:val="00701DA0"/>
    <w:rsid w:val="00701E87"/>
    <w:rsid w:val="00701E92"/>
    <w:rsid w:val="00701F22"/>
    <w:rsid w:val="007021B5"/>
    <w:rsid w:val="007021DC"/>
    <w:rsid w:val="007026A6"/>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9FB"/>
    <w:rsid w:val="00732A04"/>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76"/>
    <w:rsid w:val="00767180"/>
    <w:rsid w:val="00767328"/>
    <w:rsid w:val="00767825"/>
    <w:rsid w:val="00767832"/>
    <w:rsid w:val="007679FB"/>
    <w:rsid w:val="00767A3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74"/>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21"/>
    <w:rsid w:val="0079183D"/>
    <w:rsid w:val="00791ADB"/>
    <w:rsid w:val="00791CC0"/>
    <w:rsid w:val="00792161"/>
    <w:rsid w:val="007922DB"/>
    <w:rsid w:val="007925A0"/>
    <w:rsid w:val="00792C40"/>
    <w:rsid w:val="00792E77"/>
    <w:rsid w:val="00793663"/>
    <w:rsid w:val="0079384A"/>
    <w:rsid w:val="00793A16"/>
    <w:rsid w:val="007942B9"/>
    <w:rsid w:val="00794487"/>
    <w:rsid w:val="007944FB"/>
    <w:rsid w:val="0079485D"/>
    <w:rsid w:val="007949D5"/>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088"/>
    <w:rsid w:val="007E50F4"/>
    <w:rsid w:val="007E5290"/>
    <w:rsid w:val="007E52C1"/>
    <w:rsid w:val="007E5508"/>
    <w:rsid w:val="007E57E8"/>
    <w:rsid w:val="007E5C1F"/>
    <w:rsid w:val="007E5C31"/>
    <w:rsid w:val="007E5C35"/>
    <w:rsid w:val="007E63AF"/>
    <w:rsid w:val="007E6859"/>
    <w:rsid w:val="007E6A33"/>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E6B"/>
    <w:rsid w:val="00826E73"/>
    <w:rsid w:val="00827002"/>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85B"/>
    <w:rsid w:val="0084395E"/>
    <w:rsid w:val="00843AD9"/>
    <w:rsid w:val="00843BF9"/>
    <w:rsid w:val="00844161"/>
    <w:rsid w:val="008445B9"/>
    <w:rsid w:val="008446E9"/>
    <w:rsid w:val="008447A6"/>
    <w:rsid w:val="00844915"/>
    <w:rsid w:val="008450EF"/>
    <w:rsid w:val="00845467"/>
    <w:rsid w:val="008455F4"/>
    <w:rsid w:val="00845FA4"/>
    <w:rsid w:val="00846244"/>
    <w:rsid w:val="0084627F"/>
    <w:rsid w:val="008464F0"/>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4E3"/>
    <w:rsid w:val="008778CD"/>
    <w:rsid w:val="008778EC"/>
    <w:rsid w:val="00877AC2"/>
    <w:rsid w:val="00880642"/>
    <w:rsid w:val="00880868"/>
    <w:rsid w:val="008809B9"/>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501"/>
    <w:rsid w:val="0092563B"/>
    <w:rsid w:val="0092584E"/>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4B3"/>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D03"/>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515"/>
    <w:rsid w:val="00AF28BC"/>
    <w:rsid w:val="00AF2A89"/>
    <w:rsid w:val="00AF2AF7"/>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8BA"/>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38"/>
    <w:rsid w:val="00B40B8E"/>
    <w:rsid w:val="00B40C1F"/>
    <w:rsid w:val="00B40C54"/>
    <w:rsid w:val="00B40DF4"/>
    <w:rsid w:val="00B41419"/>
    <w:rsid w:val="00B415EB"/>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CAD"/>
    <w:rsid w:val="00B85071"/>
    <w:rsid w:val="00B85135"/>
    <w:rsid w:val="00B8531E"/>
    <w:rsid w:val="00B8532A"/>
    <w:rsid w:val="00B8535E"/>
    <w:rsid w:val="00B85637"/>
    <w:rsid w:val="00B856E7"/>
    <w:rsid w:val="00B85862"/>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6D5"/>
    <w:rsid w:val="00BF586C"/>
    <w:rsid w:val="00BF60A0"/>
    <w:rsid w:val="00BF63D6"/>
    <w:rsid w:val="00BF68D4"/>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6FE"/>
    <w:rsid w:val="00C227CA"/>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B12"/>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7DF"/>
    <w:rsid w:val="00C92501"/>
    <w:rsid w:val="00C92615"/>
    <w:rsid w:val="00C9278A"/>
    <w:rsid w:val="00C9296A"/>
    <w:rsid w:val="00C932E8"/>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66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57B8"/>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7BB"/>
    <w:rsid w:val="00DD3171"/>
    <w:rsid w:val="00DD3218"/>
    <w:rsid w:val="00DD337C"/>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B70"/>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0A7"/>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5E91"/>
    <w:rsid w:val="00E2608B"/>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2C"/>
    <w:rsid w:val="00E50C33"/>
    <w:rsid w:val="00E50CF3"/>
    <w:rsid w:val="00E50D95"/>
    <w:rsid w:val="00E50DF8"/>
    <w:rsid w:val="00E5169C"/>
    <w:rsid w:val="00E516B9"/>
    <w:rsid w:val="00E516D0"/>
    <w:rsid w:val="00E51B8A"/>
    <w:rsid w:val="00E51C21"/>
    <w:rsid w:val="00E51F4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5783D"/>
    <w:rsid w:val="00F60135"/>
    <w:rsid w:val="00F601AF"/>
    <w:rsid w:val="00F60377"/>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424"/>
    <w:rsid w:val="00F677E1"/>
    <w:rsid w:val="00F6780F"/>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0.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9589</TotalTime>
  <Pages>6</Pages>
  <Words>2123</Words>
  <Characters>12102</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Handover with NCD-SSBs</vt:lpstr>
      <vt:lpstr>RRC re-establishment delay and RRC connection release with re-direction delay</vt:lpstr>
      <vt:lpstr>Conclusion</vt:lpstr>
      <vt:lpstr>References</vt:lpstr>
    </vt:vector>
  </TitlesOfParts>
  <Company>Qualcomm</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1486</cp:revision>
  <cp:lastPrinted>2009-04-22T21:01:00Z</cp:lastPrinted>
  <dcterms:created xsi:type="dcterms:W3CDTF">2020-11-11T22:16:00Z</dcterms:created>
  <dcterms:modified xsi:type="dcterms:W3CDTF">2023-02-17T20:25:00Z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